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68669909"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AB6E23">
        <w:rPr>
          <w:rFonts w:ascii="Times New Roman" w:eastAsia="Times New Roman" w:hAnsi="Times New Roman" w:cs="Times New Roman"/>
          <w:b/>
          <w:sz w:val="40"/>
          <w:szCs w:val="40"/>
        </w:rPr>
        <w:t>2</w:t>
      </w:r>
      <w:r w:rsidR="00ED7E98">
        <w:rPr>
          <w:rFonts w:ascii="Times New Roman" w:eastAsia="Times New Roman" w:hAnsi="Times New Roman" w:cs="Times New Roman"/>
          <w:b/>
          <w:sz w:val="40"/>
          <w:szCs w:val="40"/>
        </w:rPr>
        <w:t>2</w:t>
      </w:r>
      <w:r w:rsidR="00477DE6" w:rsidRPr="00477DE6">
        <w:rPr>
          <w:rFonts w:ascii="Times New Roman" w:eastAsia="Times New Roman" w:hAnsi="Times New Roman" w:cs="Times New Roman"/>
          <w:b/>
          <w:sz w:val="40"/>
          <w:szCs w:val="40"/>
        </w:rPr>
        <w:t>-202</w:t>
      </w:r>
      <w:r w:rsidR="007A217B">
        <w:rPr>
          <w:rFonts w:ascii="Times New Roman" w:eastAsia="Times New Roman" w:hAnsi="Times New Roman" w:cs="Times New Roman"/>
          <w:b/>
          <w:sz w:val="40"/>
          <w:szCs w:val="40"/>
        </w:rPr>
        <w:t>4</w:t>
      </w:r>
      <w:r w:rsidR="00477DE6" w:rsidRPr="00477DE6">
        <w:rPr>
          <w:rFonts w:ascii="Times New Roman" w:eastAsia="Times New Roman" w:hAnsi="Times New Roman" w:cs="Times New Roman"/>
          <w:b/>
          <w:sz w:val="40"/>
          <w:szCs w:val="40"/>
        </w:rPr>
        <w:t>-202</w:t>
      </w:r>
      <w:r w:rsidR="007A217B">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w:t>
      </w:r>
      <w:r w:rsidR="00AB6E23">
        <w:rPr>
          <w:rFonts w:ascii="Times New Roman" w:eastAsia="Times New Roman" w:hAnsi="Times New Roman" w:cs="Times New Roman"/>
          <w:b/>
          <w:sz w:val="40"/>
          <w:szCs w:val="40"/>
        </w:rPr>
        <w:t>0</w:t>
      </w:r>
      <w:r w:rsidR="00ED7E98">
        <w:rPr>
          <w:rFonts w:ascii="Times New Roman" w:eastAsia="Times New Roman" w:hAnsi="Times New Roman" w:cs="Times New Roman"/>
          <w:b/>
          <w:sz w:val="40"/>
          <w:szCs w:val="40"/>
        </w:rPr>
        <w:t>9</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319DBCDD"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ED7E98">
        <w:t xml:space="preserve">BEVERAGE </w:t>
      </w:r>
      <w:r w:rsidR="00CB74FE">
        <w:t xml:space="preserve">PRODUCTS AND </w:t>
      </w:r>
      <w:r w:rsidR="00ED7E98">
        <w:t>SERVICES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588D7E4B"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ED7E98">
        <w:rPr>
          <w:rFonts w:ascii="Times New Roman" w:eastAsia="Times New Roman" w:hAnsi="Times New Roman" w:cs="Times New Roman"/>
        </w:rPr>
        <w:t>Beverage</w:t>
      </w:r>
      <w:r w:rsidR="001B0CF0">
        <w:rPr>
          <w:rFonts w:ascii="Times New Roman" w:eastAsia="Times New Roman" w:hAnsi="Times New Roman" w:cs="Times New Roman"/>
        </w:rPr>
        <w:t xml:space="preserve"> </w:t>
      </w:r>
      <w:r w:rsidR="00CB74FE">
        <w:rPr>
          <w:rFonts w:ascii="Times New Roman" w:eastAsia="Times New Roman" w:hAnsi="Times New Roman" w:cs="Times New Roman"/>
        </w:rPr>
        <w:t xml:space="preserve">Products and </w:t>
      </w:r>
      <w:r w:rsidR="001B0CF0">
        <w:rPr>
          <w:rFonts w:ascii="Times New Roman" w:eastAsia="Times New Roman" w:hAnsi="Times New Roman" w:cs="Times New Roman"/>
        </w:rPr>
        <w:t>Services</w:t>
      </w:r>
      <w:r w:rsidR="00147EA6">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1D7B932B"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ED7E98">
        <w:rPr>
          <w:rFonts w:ascii="Times New Roman" w:eastAsia="Times New Roman" w:hAnsi="Times New Roman" w:cs="Times New Roman"/>
        </w:rPr>
        <w:t>Beverage</w:t>
      </w:r>
      <w:r w:rsidR="001B0CF0">
        <w:rPr>
          <w:rFonts w:ascii="Times New Roman" w:eastAsia="Times New Roman" w:hAnsi="Times New Roman" w:cs="Times New Roman"/>
        </w:rPr>
        <w:t xml:space="preserve"> </w:t>
      </w:r>
      <w:r w:rsidR="00CB74FE">
        <w:rPr>
          <w:rFonts w:ascii="Times New Roman" w:eastAsia="Times New Roman" w:hAnsi="Times New Roman" w:cs="Times New Roman"/>
        </w:rPr>
        <w:t xml:space="preserve">Products and </w:t>
      </w:r>
      <w:r w:rsidR="001B0CF0">
        <w:rPr>
          <w:rFonts w:ascii="Times New Roman" w:eastAsia="Times New Roman" w:hAnsi="Times New Roman" w:cs="Times New Roman"/>
        </w:rPr>
        <w:t>Services</w:t>
      </w:r>
      <w:r w:rsidR="002F16D9">
        <w:rPr>
          <w:rFonts w:ascii="Times New Roman" w:eastAsia="Times New Roman" w:hAnsi="Times New Roman" w:cs="Times New Roman"/>
        </w:rPr>
        <w:t xml:space="preserve"> in Wayne County.</w:t>
      </w:r>
    </w:p>
    <w:p w14:paraId="229F121E" w14:textId="77777777" w:rsidR="00C746F0" w:rsidRDefault="00C746F0">
      <w:pPr>
        <w:spacing w:after="0" w:line="240" w:lineRule="auto"/>
        <w:rPr>
          <w:rFonts w:ascii="Times New Roman" w:eastAsia="Times New Roman" w:hAnsi="Times New Roman" w:cs="Times New Roman"/>
        </w:rPr>
      </w:pPr>
    </w:p>
    <w:p w14:paraId="229F121F" w14:textId="28C99BD5"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ED7E98">
        <w:rPr>
          <w:rFonts w:ascii="Times New Roman" w:eastAsia="Times New Roman" w:hAnsi="Times New Roman" w:cs="Times New Roman"/>
        </w:rPr>
        <w:t xml:space="preserve">Beverage </w:t>
      </w:r>
      <w:r w:rsidR="00CB74FE">
        <w:rPr>
          <w:rFonts w:ascii="Times New Roman" w:eastAsia="Times New Roman" w:hAnsi="Times New Roman" w:cs="Times New Roman"/>
        </w:rPr>
        <w:t xml:space="preserve">Products and </w:t>
      </w:r>
      <w:r w:rsidR="003E27E1">
        <w:rPr>
          <w:rFonts w:ascii="Times New Roman" w:eastAsia="Times New Roman" w:hAnsi="Times New Roman" w:cs="Times New Roman"/>
        </w:rPr>
        <w:t>Services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p>
    <w:p w14:paraId="229F1220" w14:textId="77777777" w:rsidR="00C746F0" w:rsidRDefault="00C746F0">
      <w:pPr>
        <w:spacing w:after="0" w:line="240" w:lineRule="auto"/>
        <w:rPr>
          <w:rFonts w:ascii="Times New Roman" w:eastAsia="Times New Roman" w:hAnsi="Times New Roman" w:cs="Times New Roman"/>
        </w:rPr>
      </w:pPr>
    </w:p>
    <w:p w14:paraId="014A223A" w14:textId="29AA7133"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FD3219">
        <w:trPr>
          <w:trHeight w:val="395"/>
        </w:trPr>
        <w:tc>
          <w:tcPr>
            <w:tcW w:w="4770" w:type="dxa"/>
            <w:shd w:val="clear" w:color="auto" w:fill="auto"/>
            <w:vAlign w:val="bottom"/>
          </w:tcPr>
          <w:p w14:paraId="0D0C1A47" w14:textId="77777777" w:rsidR="00FD3219" w:rsidRPr="00B82816" w:rsidRDefault="00FD3219" w:rsidP="004E7CE9">
            <w:pPr>
              <w:autoSpaceDE w:val="0"/>
              <w:autoSpaceDN w:val="0"/>
              <w:adjustRightInd w:val="0"/>
              <w:jc w:val="both"/>
              <w:rPr>
                <w:b/>
                <w:bCs/>
                <w:sz w:val="22"/>
                <w:szCs w:val="22"/>
              </w:rPr>
            </w:pPr>
            <w:r w:rsidRPr="00B82816">
              <w:rPr>
                <w:sz w:val="22"/>
                <w:szCs w:val="22"/>
              </w:rPr>
              <w:t>RFP Issue Date</w:t>
            </w:r>
          </w:p>
        </w:tc>
        <w:tc>
          <w:tcPr>
            <w:tcW w:w="4410" w:type="dxa"/>
            <w:shd w:val="clear" w:color="auto" w:fill="auto"/>
            <w:vAlign w:val="bottom"/>
          </w:tcPr>
          <w:p w14:paraId="2458BBEF" w14:textId="72663ED1" w:rsidR="00FD3219" w:rsidRPr="00036C3E" w:rsidRDefault="00036C3E" w:rsidP="004E7CE9">
            <w:pPr>
              <w:autoSpaceDE w:val="0"/>
              <w:autoSpaceDN w:val="0"/>
              <w:adjustRightInd w:val="0"/>
              <w:rPr>
                <w:bCs/>
                <w:color w:val="000000" w:themeColor="text1"/>
                <w:sz w:val="22"/>
                <w:szCs w:val="22"/>
              </w:rPr>
            </w:pPr>
            <w:r w:rsidRPr="00036C3E">
              <w:rPr>
                <w:bCs/>
                <w:sz w:val="22"/>
                <w:szCs w:val="22"/>
              </w:rPr>
              <w:t>September 10</w:t>
            </w:r>
            <w:r w:rsidR="00236E5D" w:rsidRPr="00036C3E">
              <w:rPr>
                <w:bCs/>
                <w:sz w:val="22"/>
                <w:szCs w:val="22"/>
              </w:rPr>
              <w:t>, 2024</w:t>
            </w:r>
          </w:p>
        </w:tc>
      </w:tr>
      <w:tr w:rsidR="005123D1" w:rsidRPr="00B82816" w14:paraId="0EE683F1" w14:textId="77777777" w:rsidTr="00FD3219">
        <w:trPr>
          <w:trHeight w:val="395"/>
        </w:trPr>
        <w:tc>
          <w:tcPr>
            <w:tcW w:w="4770" w:type="dxa"/>
            <w:shd w:val="clear" w:color="auto" w:fill="auto"/>
            <w:vAlign w:val="bottom"/>
          </w:tcPr>
          <w:p w14:paraId="5C0A6F56" w14:textId="6734F56E" w:rsidR="005123D1" w:rsidRPr="00B82816" w:rsidRDefault="005123D1" w:rsidP="004E7CE9">
            <w:pPr>
              <w:autoSpaceDE w:val="0"/>
              <w:autoSpaceDN w:val="0"/>
              <w:adjustRightInd w:val="0"/>
              <w:jc w:val="both"/>
              <w:rPr>
                <w:sz w:val="22"/>
                <w:szCs w:val="22"/>
              </w:rPr>
            </w:pPr>
            <w:r w:rsidRPr="00B82816">
              <w:rPr>
                <w:sz w:val="22"/>
                <w:szCs w:val="22"/>
              </w:rPr>
              <w:t xml:space="preserve">Pre-Proposal Meeting**: </w:t>
            </w:r>
          </w:p>
        </w:tc>
        <w:tc>
          <w:tcPr>
            <w:tcW w:w="4410" w:type="dxa"/>
            <w:shd w:val="clear" w:color="auto" w:fill="auto"/>
            <w:vAlign w:val="bottom"/>
          </w:tcPr>
          <w:p w14:paraId="175E1208" w14:textId="433B3880" w:rsidR="005123D1" w:rsidRPr="00036C3E" w:rsidRDefault="00036C3E" w:rsidP="004E7CE9">
            <w:pPr>
              <w:autoSpaceDE w:val="0"/>
              <w:autoSpaceDN w:val="0"/>
              <w:adjustRightInd w:val="0"/>
              <w:rPr>
                <w:bCs/>
                <w:sz w:val="22"/>
                <w:szCs w:val="22"/>
              </w:rPr>
            </w:pPr>
            <w:r w:rsidRPr="00036C3E">
              <w:rPr>
                <w:bCs/>
                <w:sz w:val="22"/>
                <w:szCs w:val="22"/>
              </w:rPr>
              <w:t>September 19</w:t>
            </w:r>
            <w:r w:rsidR="004D476F" w:rsidRPr="00036C3E">
              <w:rPr>
                <w:bCs/>
                <w:sz w:val="22"/>
                <w:szCs w:val="22"/>
              </w:rPr>
              <w:t>, 2024, at 10:00 a.m. Eastern Time</w:t>
            </w:r>
          </w:p>
        </w:tc>
      </w:tr>
      <w:tr w:rsidR="00FD3219" w:rsidRPr="00B82816" w14:paraId="408F961F" w14:textId="77777777" w:rsidTr="00FD3219">
        <w:trPr>
          <w:trHeight w:val="395"/>
        </w:trPr>
        <w:tc>
          <w:tcPr>
            <w:tcW w:w="4770" w:type="dxa"/>
            <w:shd w:val="clear" w:color="auto" w:fill="auto"/>
            <w:vAlign w:val="bottom"/>
          </w:tcPr>
          <w:p w14:paraId="206EDA6E" w14:textId="77777777" w:rsidR="00FD3219" w:rsidRPr="00B82816" w:rsidRDefault="00FD3219" w:rsidP="004E7CE9">
            <w:pPr>
              <w:autoSpaceDE w:val="0"/>
              <w:autoSpaceDN w:val="0"/>
              <w:adjustRightInd w:val="0"/>
              <w:jc w:val="both"/>
              <w:rPr>
                <w:sz w:val="22"/>
                <w:szCs w:val="22"/>
              </w:rPr>
            </w:pPr>
            <w:r w:rsidRPr="00B82816">
              <w:rPr>
                <w:sz w:val="22"/>
                <w:szCs w:val="22"/>
              </w:rPr>
              <w:t>Submission of Question(s) from Supplier Due</w:t>
            </w:r>
          </w:p>
        </w:tc>
        <w:tc>
          <w:tcPr>
            <w:tcW w:w="4410" w:type="dxa"/>
            <w:shd w:val="clear" w:color="auto" w:fill="auto"/>
            <w:vAlign w:val="bottom"/>
          </w:tcPr>
          <w:p w14:paraId="57BE74B1" w14:textId="596EA39D" w:rsidR="00FD3219" w:rsidRPr="00036C3E" w:rsidRDefault="00036C3E" w:rsidP="004E7CE9">
            <w:pPr>
              <w:autoSpaceDE w:val="0"/>
              <w:autoSpaceDN w:val="0"/>
              <w:adjustRightInd w:val="0"/>
              <w:rPr>
                <w:bCs/>
                <w:sz w:val="22"/>
                <w:szCs w:val="22"/>
              </w:rPr>
            </w:pPr>
            <w:r w:rsidRPr="00036C3E">
              <w:rPr>
                <w:bCs/>
                <w:sz w:val="22"/>
                <w:szCs w:val="22"/>
              </w:rPr>
              <w:t>September 24</w:t>
            </w:r>
            <w:r w:rsidR="00865D2B" w:rsidRPr="00036C3E">
              <w:rPr>
                <w:bCs/>
                <w:sz w:val="22"/>
                <w:szCs w:val="22"/>
              </w:rPr>
              <w:t>, 2024</w:t>
            </w:r>
            <w:r w:rsidR="00485C8C" w:rsidRPr="00036C3E">
              <w:rPr>
                <w:bCs/>
                <w:sz w:val="22"/>
                <w:szCs w:val="22"/>
              </w:rPr>
              <w:t>,</w:t>
            </w:r>
            <w:r w:rsidR="00FD3219" w:rsidRPr="00036C3E">
              <w:rPr>
                <w:bCs/>
                <w:sz w:val="22"/>
                <w:szCs w:val="22"/>
              </w:rPr>
              <w:t xml:space="preserve"> by </w:t>
            </w:r>
            <w:r w:rsidR="004D476F" w:rsidRPr="00036C3E">
              <w:rPr>
                <w:bCs/>
                <w:sz w:val="22"/>
                <w:szCs w:val="22"/>
              </w:rPr>
              <w:t>12</w:t>
            </w:r>
            <w:r w:rsidR="00FD3219" w:rsidRPr="00036C3E">
              <w:rPr>
                <w:bCs/>
                <w:sz w:val="22"/>
                <w:szCs w:val="22"/>
              </w:rPr>
              <w:t>:00 p.m. Eastern Time</w:t>
            </w:r>
          </w:p>
        </w:tc>
      </w:tr>
      <w:tr w:rsidR="00FD3219" w:rsidRPr="00B82816" w14:paraId="696E20F7" w14:textId="77777777" w:rsidTr="00FD3219">
        <w:trPr>
          <w:trHeight w:val="395"/>
        </w:trPr>
        <w:tc>
          <w:tcPr>
            <w:tcW w:w="4770" w:type="dxa"/>
            <w:shd w:val="clear" w:color="auto" w:fill="auto"/>
            <w:vAlign w:val="bottom"/>
          </w:tcPr>
          <w:p w14:paraId="5F7F0BB6" w14:textId="77777777" w:rsidR="00FD3219" w:rsidRPr="00B82816" w:rsidRDefault="00FD3219" w:rsidP="004E7CE9">
            <w:pPr>
              <w:autoSpaceDE w:val="0"/>
              <w:autoSpaceDN w:val="0"/>
              <w:adjustRightInd w:val="0"/>
              <w:jc w:val="both"/>
              <w:rPr>
                <w:sz w:val="22"/>
                <w:szCs w:val="22"/>
              </w:rPr>
            </w:pPr>
            <w:r w:rsidRPr="00B82816">
              <w:rPr>
                <w:sz w:val="22"/>
                <w:szCs w:val="22"/>
              </w:rPr>
              <w:t>Answers to Supplier Questions Due</w:t>
            </w:r>
          </w:p>
        </w:tc>
        <w:tc>
          <w:tcPr>
            <w:tcW w:w="4410" w:type="dxa"/>
            <w:shd w:val="clear" w:color="auto" w:fill="auto"/>
            <w:vAlign w:val="bottom"/>
          </w:tcPr>
          <w:p w14:paraId="27F126E7" w14:textId="23F4A9AD" w:rsidR="00FD3219" w:rsidRPr="00036C3E" w:rsidRDefault="00036C3E" w:rsidP="004E7CE9">
            <w:pPr>
              <w:autoSpaceDE w:val="0"/>
              <w:autoSpaceDN w:val="0"/>
              <w:adjustRightInd w:val="0"/>
              <w:rPr>
                <w:bCs/>
                <w:sz w:val="22"/>
                <w:szCs w:val="22"/>
              </w:rPr>
            </w:pPr>
            <w:r w:rsidRPr="00036C3E">
              <w:rPr>
                <w:bCs/>
                <w:sz w:val="22"/>
                <w:szCs w:val="22"/>
              </w:rPr>
              <w:t>October 1</w:t>
            </w:r>
            <w:r w:rsidR="00865D2B" w:rsidRPr="00036C3E">
              <w:rPr>
                <w:bCs/>
                <w:sz w:val="22"/>
                <w:szCs w:val="22"/>
              </w:rPr>
              <w:t>, 2024</w:t>
            </w:r>
          </w:p>
        </w:tc>
      </w:tr>
      <w:tr w:rsidR="00FD3219" w:rsidRPr="00B82816" w14:paraId="4F5C54D5" w14:textId="77777777" w:rsidTr="00FD3219">
        <w:trPr>
          <w:trHeight w:val="350"/>
        </w:trPr>
        <w:tc>
          <w:tcPr>
            <w:tcW w:w="4770" w:type="dxa"/>
            <w:shd w:val="clear" w:color="auto" w:fill="auto"/>
            <w:vAlign w:val="bottom"/>
          </w:tcPr>
          <w:p w14:paraId="40F394A6" w14:textId="2FB996E2" w:rsidR="00FD3219" w:rsidRPr="00B82816" w:rsidRDefault="00FD3219" w:rsidP="004E7CE9">
            <w:pPr>
              <w:autoSpaceDE w:val="0"/>
              <w:autoSpaceDN w:val="0"/>
              <w:adjustRightInd w:val="0"/>
              <w:jc w:val="both"/>
              <w:rPr>
                <w:b/>
                <w:bCs/>
                <w:sz w:val="22"/>
                <w:szCs w:val="22"/>
              </w:rPr>
            </w:pPr>
            <w:r w:rsidRPr="00B82816">
              <w:rPr>
                <w:b/>
                <w:bCs/>
                <w:sz w:val="22"/>
                <w:szCs w:val="22"/>
              </w:rPr>
              <w:t>Proposals Due*</w:t>
            </w:r>
          </w:p>
        </w:tc>
        <w:tc>
          <w:tcPr>
            <w:tcW w:w="4410" w:type="dxa"/>
            <w:shd w:val="clear" w:color="auto" w:fill="auto"/>
            <w:vAlign w:val="bottom"/>
          </w:tcPr>
          <w:p w14:paraId="5B9A73E1" w14:textId="1E1B4749" w:rsidR="00FD3219" w:rsidRPr="00036C3E" w:rsidRDefault="00036C3E" w:rsidP="004E7CE9">
            <w:pPr>
              <w:autoSpaceDE w:val="0"/>
              <w:autoSpaceDN w:val="0"/>
              <w:adjustRightInd w:val="0"/>
              <w:rPr>
                <w:b/>
                <w:bCs/>
                <w:color w:val="000000" w:themeColor="text1"/>
                <w:sz w:val="22"/>
                <w:szCs w:val="22"/>
              </w:rPr>
            </w:pPr>
            <w:r w:rsidRPr="00036C3E">
              <w:rPr>
                <w:b/>
                <w:bCs/>
                <w:sz w:val="22"/>
                <w:szCs w:val="22"/>
              </w:rPr>
              <w:t>October 15</w:t>
            </w:r>
            <w:r w:rsidR="00FD3219" w:rsidRPr="00036C3E">
              <w:rPr>
                <w:b/>
                <w:bCs/>
                <w:sz w:val="22"/>
                <w:szCs w:val="22"/>
              </w:rPr>
              <w:t>,</w:t>
            </w:r>
            <w:r w:rsidR="00865D2B" w:rsidRPr="00036C3E">
              <w:rPr>
                <w:b/>
                <w:bCs/>
                <w:sz w:val="22"/>
                <w:szCs w:val="22"/>
              </w:rPr>
              <w:t xml:space="preserve"> 2024</w:t>
            </w:r>
            <w:r w:rsidR="00485C8C" w:rsidRPr="00036C3E">
              <w:rPr>
                <w:b/>
                <w:bCs/>
                <w:sz w:val="22"/>
                <w:szCs w:val="22"/>
              </w:rPr>
              <w:t>,</w:t>
            </w:r>
            <w:r w:rsidR="00FD3219" w:rsidRPr="00036C3E">
              <w:rPr>
                <w:b/>
                <w:bCs/>
                <w:sz w:val="22"/>
                <w:szCs w:val="22"/>
              </w:rPr>
              <w:t xml:space="preserve"> by 12:00 p.m. Eastern Time</w:t>
            </w:r>
          </w:p>
        </w:tc>
      </w:tr>
      <w:tr w:rsidR="00FD3219" w:rsidRPr="00B82816" w14:paraId="5542EC5A" w14:textId="77777777" w:rsidTr="00FD3219">
        <w:trPr>
          <w:trHeight w:val="350"/>
        </w:trPr>
        <w:tc>
          <w:tcPr>
            <w:tcW w:w="4770" w:type="dxa"/>
            <w:shd w:val="clear" w:color="auto" w:fill="auto"/>
            <w:vAlign w:val="bottom"/>
          </w:tcPr>
          <w:p w14:paraId="242F3DE8" w14:textId="77777777" w:rsidR="00FD3219" w:rsidRPr="00B82816" w:rsidRDefault="00FD3219" w:rsidP="004E7CE9">
            <w:pPr>
              <w:autoSpaceDE w:val="0"/>
              <w:autoSpaceDN w:val="0"/>
              <w:adjustRightInd w:val="0"/>
              <w:jc w:val="both"/>
              <w:rPr>
                <w:b/>
                <w:bCs/>
                <w:sz w:val="22"/>
                <w:szCs w:val="22"/>
              </w:rPr>
            </w:pPr>
            <w:r w:rsidRPr="00B82816">
              <w:rPr>
                <w:sz w:val="22"/>
                <w:szCs w:val="22"/>
              </w:rPr>
              <w:t>Contract Start</w:t>
            </w:r>
          </w:p>
        </w:tc>
        <w:tc>
          <w:tcPr>
            <w:tcW w:w="4410" w:type="dxa"/>
            <w:shd w:val="clear" w:color="auto" w:fill="auto"/>
            <w:vAlign w:val="bottom"/>
          </w:tcPr>
          <w:p w14:paraId="4366AE8B" w14:textId="7403611E" w:rsidR="00FD3219" w:rsidRPr="00036C3E" w:rsidRDefault="00FD3219" w:rsidP="004E7CE9">
            <w:pPr>
              <w:autoSpaceDE w:val="0"/>
              <w:autoSpaceDN w:val="0"/>
              <w:adjustRightInd w:val="0"/>
              <w:rPr>
                <w:bCs/>
                <w:color w:val="000000" w:themeColor="text1"/>
                <w:sz w:val="22"/>
                <w:szCs w:val="22"/>
              </w:rPr>
            </w:pPr>
            <w:r w:rsidRPr="00036C3E">
              <w:rPr>
                <w:bCs/>
                <w:sz w:val="22"/>
                <w:szCs w:val="22"/>
              </w:rPr>
              <w:t xml:space="preserve"> </w:t>
            </w:r>
            <w:r w:rsidR="00036C3E" w:rsidRPr="00036C3E">
              <w:rPr>
                <w:bCs/>
                <w:sz w:val="22"/>
                <w:szCs w:val="22"/>
              </w:rPr>
              <w:t>December</w:t>
            </w:r>
            <w:r w:rsidR="00865D2B" w:rsidRPr="00036C3E">
              <w:rPr>
                <w:bCs/>
                <w:sz w:val="22"/>
                <w:szCs w:val="22"/>
              </w:rPr>
              <w:t xml:space="preserve"> 2024</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6B9346FA" w14:textId="77777777" w:rsidR="00FD3219" w:rsidRPr="00B82816" w:rsidRDefault="00FD3219">
      <w:pPr>
        <w:spacing w:after="0" w:line="240" w:lineRule="auto"/>
        <w:jc w:val="both"/>
        <w:rPr>
          <w:rFonts w:ascii="Times New Roman" w:eastAsia="Times New Roman" w:hAnsi="Times New Roman" w:cs="Times New Roman"/>
          <w:b/>
        </w:rPr>
      </w:pPr>
    </w:p>
    <w:p w14:paraId="49DF1F2D" w14:textId="17E611E7" w:rsidR="004D476F" w:rsidRPr="00036C3E" w:rsidRDefault="004D476F" w:rsidP="004D476F">
      <w:pPr>
        <w:spacing w:line="240" w:lineRule="auto"/>
        <w:rPr>
          <w:rFonts w:ascii="Times New Roman" w:eastAsia="Times New Roman" w:hAnsi="Times New Roman" w:cs="Times New Roman"/>
        </w:rPr>
      </w:pPr>
      <w:r w:rsidRPr="00B82816">
        <w:rPr>
          <w:rFonts w:ascii="Times New Roman" w:eastAsia="Times New Roman" w:hAnsi="Times New Roman" w:cs="Times New Roman"/>
        </w:rPr>
        <w:t xml:space="preserve">**Pre-Proposal Meeting is </w:t>
      </w:r>
      <w:r w:rsidRPr="00B82816">
        <w:rPr>
          <w:rFonts w:ascii="Times New Roman" w:eastAsia="Times New Roman" w:hAnsi="Times New Roman" w:cs="Times New Roman"/>
          <w:u w:val="single"/>
        </w:rPr>
        <w:t>strongly encouraged</w:t>
      </w:r>
      <w:r w:rsidRPr="00B82816">
        <w:rPr>
          <w:rFonts w:ascii="Times New Roman" w:eastAsia="Times New Roman" w:hAnsi="Times New Roman" w:cs="Times New Roman"/>
        </w:rPr>
        <w:t xml:space="preserve">, though it is not mandatory to attend. The Pre-Proposal Meeting will be held virtually via Teams on </w:t>
      </w:r>
      <w:r w:rsidR="00036C3E" w:rsidRPr="00036C3E">
        <w:rPr>
          <w:rFonts w:ascii="Times New Roman" w:eastAsia="Times New Roman" w:hAnsi="Times New Roman" w:cs="Times New Roman"/>
        </w:rPr>
        <w:t>September 19</w:t>
      </w:r>
      <w:r w:rsidRPr="00036C3E">
        <w:rPr>
          <w:rFonts w:ascii="Times New Roman" w:eastAsia="Times New Roman" w:hAnsi="Times New Roman" w:cs="Times New Roman"/>
        </w:rPr>
        <w:t>, 2024, at 10:00 a.m. Eastern Time. Meeting link is provided below:</w:t>
      </w:r>
    </w:p>
    <w:p w14:paraId="334AC3D4" w14:textId="77777777" w:rsidR="004D476F" w:rsidRPr="00036C3E" w:rsidRDefault="004D476F" w:rsidP="004D476F">
      <w:pPr>
        <w:spacing w:after="0" w:line="240" w:lineRule="auto"/>
        <w:rPr>
          <w:rFonts w:ascii="Times New Roman" w:eastAsia="Times New Roman" w:hAnsi="Times New Roman" w:cs="Times New Roman"/>
        </w:rPr>
      </w:pPr>
      <w:r w:rsidRPr="00036C3E">
        <w:rPr>
          <w:rFonts w:ascii="Times New Roman" w:eastAsia="Times New Roman" w:hAnsi="Times New Roman" w:cs="Times New Roman"/>
          <w:b/>
          <w:bCs/>
          <w:u w:val="single"/>
        </w:rPr>
        <w:t>Teams meeting</w:t>
      </w:r>
      <w:r w:rsidRPr="00036C3E">
        <w:rPr>
          <w:rFonts w:ascii="Times New Roman" w:eastAsia="Times New Roman" w:hAnsi="Times New Roman" w:cs="Times New Roman"/>
        </w:rPr>
        <w:t xml:space="preserve">: </w:t>
      </w:r>
    </w:p>
    <w:p w14:paraId="59AC49D6" w14:textId="596C1198" w:rsidR="004D476F" w:rsidRPr="00036C3E" w:rsidRDefault="004D476F" w:rsidP="004D476F">
      <w:pPr>
        <w:spacing w:after="0" w:line="240" w:lineRule="auto"/>
        <w:rPr>
          <w:rFonts w:ascii="Times New Roman" w:eastAsia="Times New Roman" w:hAnsi="Times New Roman" w:cs="Times New Roman"/>
        </w:rPr>
      </w:pPr>
      <w:r w:rsidRPr="00036C3E">
        <w:rPr>
          <w:rFonts w:ascii="Times New Roman" w:eastAsia="Times New Roman" w:hAnsi="Times New Roman" w:cs="Times New Roman"/>
        </w:rPr>
        <w:t xml:space="preserve">Topic: Pre-Proposal Meeting: </w:t>
      </w:r>
      <w:r w:rsidR="00ED7E98" w:rsidRPr="00036C3E">
        <w:rPr>
          <w:rFonts w:ascii="Times New Roman" w:eastAsia="Times New Roman" w:hAnsi="Times New Roman" w:cs="Times New Roman"/>
        </w:rPr>
        <w:t xml:space="preserve">Beverage </w:t>
      </w:r>
      <w:r w:rsidR="00CB74FE" w:rsidRPr="00036C3E">
        <w:rPr>
          <w:rFonts w:ascii="Times New Roman" w:eastAsia="Times New Roman" w:hAnsi="Times New Roman" w:cs="Times New Roman"/>
        </w:rPr>
        <w:t xml:space="preserve">Products and </w:t>
      </w:r>
      <w:r w:rsidR="003E27E1" w:rsidRPr="00036C3E">
        <w:rPr>
          <w:rFonts w:ascii="Times New Roman" w:eastAsia="Times New Roman" w:hAnsi="Times New Roman" w:cs="Times New Roman"/>
        </w:rPr>
        <w:t>Services</w:t>
      </w:r>
    </w:p>
    <w:p w14:paraId="0CCF17C3" w14:textId="2AFB1B67" w:rsidR="004D476F" w:rsidRPr="00391693" w:rsidRDefault="004D476F" w:rsidP="004D476F">
      <w:pPr>
        <w:spacing w:after="0" w:line="240" w:lineRule="auto"/>
        <w:rPr>
          <w:rFonts w:ascii="Times New Roman" w:eastAsia="Times New Roman" w:hAnsi="Times New Roman" w:cs="Times New Roman"/>
        </w:rPr>
      </w:pPr>
      <w:r w:rsidRPr="00036C3E">
        <w:rPr>
          <w:rFonts w:ascii="Times New Roman" w:eastAsia="Times New Roman" w:hAnsi="Times New Roman" w:cs="Times New Roman"/>
        </w:rPr>
        <w:t xml:space="preserve">Time: </w:t>
      </w:r>
      <w:r w:rsidR="00036C3E" w:rsidRPr="00036C3E">
        <w:rPr>
          <w:rFonts w:ascii="Times New Roman" w:eastAsia="Times New Roman" w:hAnsi="Times New Roman" w:cs="Times New Roman"/>
        </w:rPr>
        <w:t>September 19</w:t>
      </w:r>
      <w:r w:rsidRPr="00036C3E">
        <w:rPr>
          <w:rFonts w:ascii="Times New Roman" w:eastAsia="Times New Roman" w:hAnsi="Times New Roman" w:cs="Times New Roman"/>
        </w:rPr>
        <w:t>, 2024, 10:00 a.m. Eastern</w:t>
      </w:r>
      <w:r w:rsidRPr="00391693">
        <w:rPr>
          <w:rFonts w:ascii="Times New Roman" w:eastAsia="Times New Roman" w:hAnsi="Times New Roman" w:cs="Times New Roman"/>
        </w:rPr>
        <w:t xml:space="preserve"> Time (US and Canada)</w:t>
      </w:r>
    </w:p>
    <w:p w14:paraId="7FCF4F54" w14:textId="77777777" w:rsidR="004D476F" w:rsidRPr="00391693" w:rsidRDefault="004D476F" w:rsidP="004D476F">
      <w:pPr>
        <w:spacing w:after="0" w:line="240" w:lineRule="auto"/>
        <w:rPr>
          <w:rFonts w:ascii="Times New Roman" w:eastAsia="Times New Roman" w:hAnsi="Times New Roman" w:cs="Times New Roman"/>
        </w:rPr>
      </w:pPr>
    </w:p>
    <w:p w14:paraId="4F235242" w14:textId="77777777" w:rsidR="004D476F" w:rsidRDefault="004D476F" w:rsidP="004D476F">
      <w:pPr>
        <w:spacing w:after="0" w:line="240" w:lineRule="auto"/>
        <w:rPr>
          <w:rFonts w:ascii="Times New Roman" w:eastAsia="Times New Roman" w:hAnsi="Times New Roman" w:cs="Times New Roman"/>
          <w:b/>
          <w:bCs/>
        </w:rPr>
      </w:pPr>
      <w:r w:rsidRPr="00E86506">
        <w:rPr>
          <w:rFonts w:ascii="Times New Roman" w:eastAsia="Times New Roman" w:hAnsi="Times New Roman" w:cs="Times New Roman"/>
          <w:b/>
          <w:bCs/>
        </w:rPr>
        <w:t>Join Teams Meeting</w:t>
      </w:r>
      <w:r>
        <w:rPr>
          <w:rFonts w:ascii="Times New Roman" w:eastAsia="Times New Roman" w:hAnsi="Times New Roman" w:cs="Times New Roman"/>
          <w:b/>
          <w:bCs/>
        </w:rPr>
        <w:t>:</w:t>
      </w:r>
    </w:p>
    <w:p w14:paraId="23F1A357" w14:textId="5CC9DC54" w:rsidR="002B118B" w:rsidRDefault="008C6D43" w:rsidP="00391693">
      <w:pPr>
        <w:spacing w:after="0" w:line="240" w:lineRule="auto"/>
      </w:pPr>
      <w:hyperlink r:id="rId8" w:history="1">
        <w:r w:rsidR="00036C3E" w:rsidRPr="00842E0B">
          <w:rPr>
            <w:rStyle w:val="Hyperlink"/>
          </w:rPr>
          <w:t>https://teams.microsoft.com/l/meetup-join/19%3ameeting_OTYzMzQ4YmYtMzM4OS00MWRhLWE2MzktZmFjZDk4ZmJlMjRl%40thread.v2/0?context=%7b%22Tid%22%3a%22e1f19f2f-617d-4202-a476-27bc477a74f5%22%2c%22Oid%22%3a%225f987be7-abd4-4e5a-9c24-d98ed4bbc3b5%22%7d</w:t>
        </w:r>
      </w:hyperlink>
      <w:r w:rsidR="00036C3E">
        <w:t xml:space="preserve"> </w:t>
      </w:r>
    </w:p>
    <w:p w14:paraId="2354037F" w14:textId="77777777" w:rsidR="00036C3E" w:rsidRPr="00036C3E" w:rsidRDefault="00036C3E" w:rsidP="00391693">
      <w:pPr>
        <w:spacing w:after="0" w:line="240" w:lineRule="auto"/>
        <w:rPr>
          <w:rFonts w:ascii="Times New Roman" w:eastAsia="Times New Roman" w:hAnsi="Times New Roman" w:cs="Times New Roman"/>
        </w:rPr>
      </w:pPr>
    </w:p>
    <w:p w14:paraId="6A465B41" w14:textId="77777777" w:rsidR="00036C3E" w:rsidRPr="00036C3E" w:rsidRDefault="00036C3E" w:rsidP="00036C3E">
      <w:pPr>
        <w:spacing w:after="0" w:line="240" w:lineRule="auto"/>
        <w:rPr>
          <w:rFonts w:ascii="Times New Roman" w:eastAsia="Times New Roman" w:hAnsi="Times New Roman" w:cs="Times New Roman"/>
        </w:rPr>
      </w:pPr>
      <w:r w:rsidRPr="00036C3E">
        <w:rPr>
          <w:rFonts w:ascii="Times New Roman" w:eastAsia="Times New Roman" w:hAnsi="Times New Roman" w:cs="Times New Roman"/>
        </w:rPr>
        <w:t xml:space="preserve">Meeting ID: 299 944 474 233 </w:t>
      </w:r>
    </w:p>
    <w:p w14:paraId="5038CAA4" w14:textId="2827ABA0" w:rsidR="00391693" w:rsidRDefault="00036C3E" w:rsidP="00036C3E">
      <w:pPr>
        <w:spacing w:after="0" w:line="240" w:lineRule="auto"/>
        <w:rPr>
          <w:rFonts w:ascii="Times New Roman" w:eastAsia="Times New Roman" w:hAnsi="Times New Roman" w:cs="Times New Roman"/>
        </w:rPr>
      </w:pPr>
      <w:r w:rsidRPr="00036C3E">
        <w:rPr>
          <w:rFonts w:ascii="Times New Roman" w:eastAsia="Times New Roman" w:hAnsi="Times New Roman" w:cs="Times New Roman"/>
        </w:rPr>
        <w:t>Passcode: NDzcK9</w:t>
      </w:r>
    </w:p>
    <w:p w14:paraId="60A73748" w14:textId="77777777" w:rsidR="00036C3E" w:rsidRPr="00391693" w:rsidRDefault="00036C3E" w:rsidP="00036C3E">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0"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1"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1DEB4CB2" w:rsidR="0008476A" w:rsidRPr="00084A58" w:rsidRDefault="008C6D43">
          <w:pPr>
            <w:pStyle w:val="TOC2"/>
            <w:rPr>
              <w:rFonts w:ascii="Times New Roman" w:eastAsiaTheme="minorEastAsia" w:hAnsi="Times New Roman" w:cs="Times New Roman"/>
              <w:b w:val="0"/>
              <w:bCs w:val="0"/>
              <w:kern w:val="2"/>
              <w14:ligatures w14:val="standardContextual"/>
            </w:rPr>
          </w:pPr>
          <w:hyperlink w:anchor="_Toc155257458" w:history="1">
            <w:r w:rsidR="0008476A" w:rsidRPr="00084A58">
              <w:rPr>
                <w:rStyle w:val="Hyperlink"/>
                <w:rFonts w:ascii="Times New Roman" w:hAnsi="Times New Roman" w:cs="Times New Roman"/>
              </w:rPr>
              <w:t>SECTION 1.0 – PROPOSER RESPONSES TO SCOPE OF WORK AND PRICING</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_Toc155257458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533E7E">
              <w:rPr>
                <w:rFonts w:ascii="Times New Roman" w:hAnsi="Times New Roman" w:cs="Times New Roman"/>
                <w:webHidden/>
              </w:rPr>
              <w:t>5</w:t>
            </w:r>
            <w:r w:rsidR="0008476A" w:rsidRPr="00084A58">
              <w:rPr>
                <w:rFonts w:ascii="Times New Roman" w:hAnsi="Times New Roman" w:cs="Times New Roman"/>
                <w:webHidden/>
              </w:rPr>
              <w:fldChar w:fldCharType="end"/>
            </w:r>
          </w:hyperlink>
        </w:p>
        <w:p w14:paraId="53C3C00B" w14:textId="7984AC0B"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59" w:history="1">
            <w:r w:rsidR="0008476A" w:rsidRPr="00084A58">
              <w:rPr>
                <w:rStyle w:val="Hyperlink"/>
                <w:rFonts w:ascii="Times New Roman" w:hAnsi="Times New Roman" w:cs="Times New Roman"/>
                <w:noProof/>
              </w:rPr>
              <w:t>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Minimum Mandatory Requirements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_Toc155257459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17AB3A12" w14:textId="6E3DD178"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0" w:history="1">
            <w:r w:rsidR="0008476A" w:rsidRPr="00084A58">
              <w:rPr>
                <w:rStyle w:val="Hyperlink"/>
                <w:rFonts w:ascii="Times New Roman" w:hAnsi="Times New Roman" w:cs="Times New Roman"/>
                <w:noProof/>
              </w:rPr>
              <w:t>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Introduction and Background</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1EDF7060" w14:textId="4E68CD62"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1" w:history="1">
            <w:r w:rsidR="0008476A" w:rsidRPr="00084A58">
              <w:rPr>
                <w:rStyle w:val="Hyperlink"/>
                <w:rFonts w:ascii="Times New Roman" w:hAnsi="Times New Roman" w:cs="Times New Roman"/>
                <w:noProof/>
              </w:rPr>
              <w:t>1.3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Scope of Work</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5</w:t>
            </w:r>
            <w:r w:rsidR="0008476A" w:rsidRPr="00084A58">
              <w:rPr>
                <w:rFonts w:ascii="Times New Roman" w:hAnsi="Times New Roman" w:cs="Times New Roman"/>
                <w:noProof/>
                <w:webHidden/>
              </w:rPr>
              <w:fldChar w:fldCharType="end"/>
            </w:r>
          </w:hyperlink>
        </w:p>
        <w:p w14:paraId="7CE6D050" w14:textId="2595BDFC"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2" w:history="1">
            <w:r w:rsidR="0008476A" w:rsidRPr="00084A58">
              <w:rPr>
                <w:rStyle w:val="Hyperlink"/>
                <w:rFonts w:ascii="Times New Roman" w:hAnsi="Times New Roman" w:cs="Times New Roman"/>
                <w:noProof/>
              </w:rPr>
              <w:t>1.4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Statewide Cooperative Contract</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7</w:t>
            </w:r>
            <w:r w:rsidR="0008476A" w:rsidRPr="00084A58">
              <w:rPr>
                <w:rFonts w:ascii="Times New Roman" w:hAnsi="Times New Roman" w:cs="Times New Roman"/>
                <w:noProof/>
                <w:webHidden/>
              </w:rPr>
              <w:fldChar w:fldCharType="end"/>
            </w:r>
          </w:hyperlink>
        </w:p>
        <w:p w14:paraId="7C7BF631" w14:textId="42730B3D"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5" w:history="1">
            <w:r w:rsidR="0008476A" w:rsidRPr="00084A58">
              <w:rPr>
                <w:rStyle w:val="Hyperlink"/>
                <w:rFonts w:ascii="Times New Roman" w:hAnsi="Times New Roman" w:cs="Times New Roman"/>
                <w:noProof/>
              </w:rPr>
              <w:t>1.5</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Product Specifications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8</w:t>
            </w:r>
            <w:r w:rsidR="0008476A" w:rsidRPr="00084A58">
              <w:rPr>
                <w:rFonts w:ascii="Times New Roman" w:hAnsi="Times New Roman" w:cs="Times New Roman"/>
                <w:noProof/>
                <w:webHidden/>
              </w:rPr>
              <w:fldChar w:fldCharType="end"/>
            </w:r>
          </w:hyperlink>
        </w:p>
        <w:p w14:paraId="3AA0C224" w14:textId="003CA7BD"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6" w:history="1">
            <w:r w:rsidR="0008476A" w:rsidRPr="00084A58">
              <w:rPr>
                <w:rStyle w:val="Hyperlink"/>
                <w:rFonts w:ascii="Times New Roman" w:hAnsi="Times New Roman" w:cs="Times New Roman"/>
                <w:noProof/>
              </w:rPr>
              <w:t>1.6</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Service Capabilities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8</w:t>
            </w:r>
            <w:r w:rsidR="0008476A" w:rsidRPr="00084A58">
              <w:rPr>
                <w:rFonts w:ascii="Times New Roman" w:hAnsi="Times New Roman" w:cs="Times New Roman"/>
                <w:noProof/>
                <w:webHidden/>
              </w:rPr>
              <w:fldChar w:fldCharType="end"/>
            </w:r>
          </w:hyperlink>
        </w:p>
        <w:p w14:paraId="4444C129" w14:textId="03719F6D"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7" w:history="1">
            <w:r w:rsidR="0008476A" w:rsidRPr="00084A58">
              <w:rPr>
                <w:rStyle w:val="Hyperlink"/>
                <w:rFonts w:ascii="Times New Roman" w:hAnsi="Times New Roman" w:cs="Times New Roman"/>
                <w:noProof/>
              </w:rPr>
              <w:t>1.7</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Customer Service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_Toc155257467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1CB312D2" w14:textId="774CF2D8"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8" w:history="1">
            <w:r w:rsidR="0008476A" w:rsidRPr="00084A58">
              <w:rPr>
                <w:rStyle w:val="Hyperlink"/>
                <w:rFonts w:ascii="Times New Roman" w:hAnsi="Times New Roman" w:cs="Times New Roman"/>
                <w:noProof/>
              </w:rPr>
              <w:t>1.8</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Purchase Orders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1CE5BC5C" w14:textId="3B0B5A68"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69" w:history="1">
            <w:r w:rsidR="0008476A" w:rsidRPr="00084A58">
              <w:rPr>
                <w:rStyle w:val="Hyperlink"/>
                <w:rFonts w:ascii="Times New Roman" w:hAnsi="Times New Roman" w:cs="Times New Roman"/>
                <w:noProof/>
              </w:rPr>
              <w:t>1.9</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Delivery and Acceptance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_Toc155257469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3477E67F" w14:textId="087EB336"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0" w:history="1">
            <w:r w:rsidR="0008476A" w:rsidRPr="00084A58">
              <w:rPr>
                <w:rStyle w:val="Hyperlink"/>
                <w:rFonts w:ascii="Times New Roman" w:hAnsi="Times New Roman" w:cs="Times New Roman"/>
                <w:noProof/>
              </w:rPr>
              <w:t>1.10</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Management and Staff</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9</w:t>
            </w:r>
            <w:r w:rsidR="0008476A" w:rsidRPr="00084A58">
              <w:rPr>
                <w:rFonts w:ascii="Times New Roman" w:hAnsi="Times New Roman" w:cs="Times New Roman"/>
                <w:noProof/>
                <w:webHidden/>
              </w:rPr>
              <w:fldChar w:fldCharType="end"/>
            </w:r>
          </w:hyperlink>
        </w:p>
        <w:p w14:paraId="76D25E24" w14:textId="7991DE79"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1" w:history="1">
            <w:r w:rsidR="0008476A" w:rsidRPr="00084A58">
              <w:rPr>
                <w:rStyle w:val="Hyperlink"/>
                <w:rFonts w:ascii="Times New Roman" w:hAnsi="Times New Roman" w:cs="Times New Roman"/>
                <w:noProof/>
              </w:rPr>
              <w:t>1.11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Pricing Schedule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10</w:t>
            </w:r>
            <w:r w:rsidR="0008476A" w:rsidRPr="00084A58">
              <w:rPr>
                <w:rFonts w:ascii="Times New Roman" w:hAnsi="Times New Roman" w:cs="Times New Roman"/>
                <w:noProof/>
                <w:webHidden/>
              </w:rPr>
              <w:fldChar w:fldCharType="end"/>
            </w:r>
          </w:hyperlink>
        </w:p>
        <w:p w14:paraId="7F727A45" w14:textId="0C2019BE"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2" w:history="1">
            <w:r w:rsidR="0008476A" w:rsidRPr="00084A58">
              <w:rPr>
                <w:rStyle w:val="Hyperlink"/>
                <w:rFonts w:ascii="Times New Roman" w:hAnsi="Times New Roman" w:cs="Times New Roman"/>
                <w:noProof/>
              </w:rPr>
              <w:t>1.12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Price Assurance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10</w:t>
            </w:r>
            <w:r w:rsidR="0008476A" w:rsidRPr="00084A58">
              <w:rPr>
                <w:rFonts w:ascii="Times New Roman" w:hAnsi="Times New Roman" w:cs="Times New Roman"/>
                <w:noProof/>
                <w:webHidden/>
              </w:rPr>
              <w:fldChar w:fldCharType="end"/>
            </w:r>
          </w:hyperlink>
        </w:p>
        <w:p w14:paraId="65C9982F" w14:textId="6DD0F7D1" w:rsidR="0008476A" w:rsidRPr="00084A58" w:rsidRDefault="008C6D43">
          <w:pPr>
            <w:pStyle w:val="TOC2"/>
            <w:rPr>
              <w:rFonts w:ascii="Times New Roman" w:eastAsiaTheme="minorEastAsia" w:hAnsi="Times New Roman" w:cs="Times New Roman"/>
              <w:b w:val="0"/>
              <w:bCs w:val="0"/>
              <w:kern w:val="2"/>
              <w14:ligatures w14:val="standardContextual"/>
            </w:rPr>
          </w:pPr>
          <w:hyperlink w:anchor="_Toc155257473" w:history="1">
            <w:r w:rsidR="0008476A" w:rsidRPr="00084A58">
              <w:rPr>
                <w:rStyle w:val="Hyperlink"/>
                <w:rFonts w:ascii="Times New Roman" w:hAnsi="Times New Roman" w:cs="Times New Roman"/>
              </w:rPr>
              <w:t>SECTION 2.0 – PROPOSER INFORMATION AND ACCEPTANCE</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_Toc155257473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533E7E">
              <w:rPr>
                <w:rFonts w:ascii="Times New Roman" w:hAnsi="Times New Roman" w:cs="Times New Roman"/>
                <w:webHidden/>
              </w:rPr>
              <w:t>12</w:t>
            </w:r>
            <w:r w:rsidR="0008476A" w:rsidRPr="00084A58">
              <w:rPr>
                <w:rFonts w:ascii="Times New Roman" w:hAnsi="Times New Roman" w:cs="Times New Roman"/>
                <w:webHidden/>
              </w:rPr>
              <w:fldChar w:fldCharType="end"/>
            </w:r>
          </w:hyperlink>
        </w:p>
        <w:p w14:paraId="01E02B4E" w14:textId="0A871096"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4" w:history="1">
            <w:r w:rsidR="0008476A" w:rsidRPr="00084A58">
              <w:rPr>
                <w:rStyle w:val="Hyperlink"/>
                <w:rFonts w:ascii="Times New Roman" w:hAnsi="Times New Roman" w:cs="Times New Roman"/>
                <w:noProof/>
              </w:rPr>
              <w:t>2.1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Company Profile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_Toc155257474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14</w:t>
            </w:r>
            <w:r w:rsidR="0008476A" w:rsidRPr="00084A58">
              <w:rPr>
                <w:rFonts w:ascii="Times New Roman" w:hAnsi="Times New Roman" w:cs="Times New Roman"/>
                <w:noProof/>
                <w:webHidden/>
              </w:rPr>
              <w:fldChar w:fldCharType="end"/>
            </w:r>
          </w:hyperlink>
        </w:p>
        <w:p w14:paraId="0FE9F5DA" w14:textId="1CD8C6C1"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5" w:history="1">
            <w:r w:rsidR="0008476A" w:rsidRPr="00084A58">
              <w:rPr>
                <w:rStyle w:val="Hyperlink"/>
                <w:rFonts w:ascii="Times New Roman" w:hAnsi="Times New Roman" w:cs="Times New Roman"/>
                <w:noProof/>
              </w:rPr>
              <w:t>2.2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References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15</w:t>
            </w:r>
            <w:r w:rsidR="0008476A" w:rsidRPr="00084A58">
              <w:rPr>
                <w:rFonts w:ascii="Times New Roman" w:hAnsi="Times New Roman" w:cs="Times New Roman"/>
                <w:noProof/>
                <w:webHidden/>
              </w:rPr>
              <w:fldChar w:fldCharType="end"/>
            </w:r>
          </w:hyperlink>
        </w:p>
        <w:p w14:paraId="1D896D9D" w14:textId="26D450BB"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6" w:history="1">
            <w:r w:rsidR="0008476A" w:rsidRPr="00084A58">
              <w:rPr>
                <w:rStyle w:val="Hyperlink"/>
                <w:rFonts w:ascii="Times New Roman" w:hAnsi="Times New Roman" w:cs="Times New Roman"/>
                <w:noProof/>
              </w:rPr>
              <w:t>2.3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Assurances and Certifications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16</w:t>
            </w:r>
            <w:r w:rsidR="0008476A" w:rsidRPr="00084A58">
              <w:rPr>
                <w:rFonts w:ascii="Times New Roman" w:hAnsi="Times New Roman" w:cs="Times New Roman"/>
                <w:noProof/>
                <w:webHidden/>
              </w:rPr>
              <w:fldChar w:fldCharType="end"/>
            </w:r>
          </w:hyperlink>
        </w:p>
        <w:p w14:paraId="3C3EDA1B" w14:textId="7E5B8096" w:rsidR="0008476A" w:rsidRPr="00084A58" w:rsidRDefault="008C6D43">
          <w:pPr>
            <w:pStyle w:val="TOC2"/>
            <w:rPr>
              <w:rFonts w:ascii="Times New Roman" w:eastAsiaTheme="minorEastAsia" w:hAnsi="Times New Roman" w:cs="Times New Roman"/>
              <w:b w:val="0"/>
              <w:bCs w:val="0"/>
              <w:kern w:val="2"/>
              <w14:ligatures w14:val="standardContextual"/>
            </w:rPr>
          </w:pPr>
          <w:hyperlink w:anchor="_Toc155257477" w:history="1">
            <w:r w:rsidR="0008476A" w:rsidRPr="00084A58">
              <w:rPr>
                <w:rStyle w:val="Hyperlink"/>
                <w:rFonts w:ascii="Times New Roman" w:hAnsi="Times New Roman" w:cs="Times New Roman"/>
              </w:rPr>
              <w:t>SECTION 3.0 – BIDDING, EVALUATION, SELECTION &amp; AWARD PROCESS</w:t>
            </w:r>
            <w:r w:rsidR="0008476A" w:rsidRPr="00084A58">
              <w:rPr>
                <w:rFonts w:ascii="Times New Roman" w:hAnsi="Times New Roman" w:cs="Times New Roman"/>
                <w:webHidden/>
              </w:rPr>
              <w:tab/>
            </w:r>
            <w:r w:rsidR="0008476A" w:rsidRPr="00084A58">
              <w:rPr>
                <w:rFonts w:ascii="Times New Roman" w:hAnsi="Times New Roman" w:cs="Times New Roman"/>
                <w:webHidden/>
              </w:rPr>
              <w:fldChar w:fldCharType="begin"/>
            </w:r>
            <w:r w:rsidR="0008476A" w:rsidRPr="00084A58">
              <w:rPr>
                <w:rFonts w:ascii="Times New Roman" w:hAnsi="Times New Roman" w:cs="Times New Roman"/>
                <w:webHidden/>
              </w:rPr>
              <w:instrText xml:space="preserve"> PAGEREF _Toc155257477 \h </w:instrText>
            </w:r>
            <w:r w:rsidR="0008476A" w:rsidRPr="00084A58">
              <w:rPr>
                <w:rFonts w:ascii="Times New Roman" w:hAnsi="Times New Roman" w:cs="Times New Roman"/>
                <w:webHidden/>
              </w:rPr>
            </w:r>
            <w:r w:rsidR="0008476A" w:rsidRPr="00084A58">
              <w:rPr>
                <w:rFonts w:ascii="Times New Roman" w:hAnsi="Times New Roman" w:cs="Times New Roman"/>
                <w:webHidden/>
              </w:rPr>
              <w:fldChar w:fldCharType="separate"/>
            </w:r>
            <w:r w:rsidR="00533E7E">
              <w:rPr>
                <w:rFonts w:ascii="Times New Roman" w:hAnsi="Times New Roman" w:cs="Times New Roman"/>
                <w:webHidden/>
              </w:rPr>
              <w:t>21</w:t>
            </w:r>
            <w:r w:rsidR="0008476A" w:rsidRPr="00084A58">
              <w:rPr>
                <w:rFonts w:ascii="Times New Roman" w:hAnsi="Times New Roman" w:cs="Times New Roman"/>
                <w:webHidden/>
              </w:rPr>
              <w:fldChar w:fldCharType="end"/>
            </w:r>
          </w:hyperlink>
        </w:p>
        <w:p w14:paraId="52420EE1" w14:textId="28295403"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8" w:history="1">
            <w:r w:rsidR="0008476A" w:rsidRPr="00084A58">
              <w:rPr>
                <w:rStyle w:val="Hyperlink"/>
                <w:rFonts w:ascii="Times New Roman" w:hAnsi="Times New Roman" w:cs="Times New Roman"/>
                <w:noProof/>
              </w:rPr>
              <w:t>3.1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Wayne RESA Responsibility</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4B41BC1B" w14:textId="37DBB8E5"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79" w:history="1">
            <w:r w:rsidR="0008476A" w:rsidRPr="00084A58">
              <w:rPr>
                <w:rStyle w:val="Hyperlink"/>
                <w:rFonts w:ascii="Times New Roman" w:hAnsi="Times New Roman" w:cs="Times New Roman"/>
                <w:noProof/>
              </w:rPr>
              <w:t>3.2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Truth and Accuracy of Representations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_Toc155257479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33DA4701" w14:textId="0AEB71EE"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0" w:history="1">
            <w:r w:rsidR="0008476A" w:rsidRPr="00084A58">
              <w:rPr>
                <w:rStyle w:val="Hyperlink"/>
                <w:rFonts w:ascii="Times New Roman" w:hAnsi="Times New Roman" w:cs="Times New Roman"/>
                <w:noProof/>
              </w:rPr>
              <w:t>3.3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Proposers Questions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57E2BA1E" w14:textId="55CA1E6A"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1" w:history="1">
            <w:r w:rsidR="0008476A" w:rsidRPr="00084A58">
              <w:rPr>
                <w:rStyle w:val="Hyperlink"/>
                <w:rFonts w:ascii="Times New Roman" w:hAnsi="Times New Roman" w:cs="Times New Roman"/>
                <w:noProof/>
              </w:rPr>
              <w:t>3.4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Preparation of the Proposal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21</w:t>
            </w:r>
            <w:r w:rsidR="0008476A" w:rsidRPr="00084A58">
              <w:rPr>
                <w:rFonts w:ascii="Times New Roman" w:hAnsi="Times New Roman" w:cs="Times New Roman"/>
                <w:noProof/>
                <w:webHidden/>
              </w:rPr>
              <w:fldChar w:fldCharType="end"/>
            </w:r>
          </w:hyperlink>
        </w:p>
        <w:p w14:paraId="300AF90D" w14:textId="7C4ED0A0"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2" w:history="1">
            <w:r w:rsidR="0008476A" w:rsidRPr="00084A58">
              <w:rPr>
                <w:rStyle w:val="Hyperlink"/>
                <w:rFonts w:ascii="Times New Roman" w:hAnsi="Times New Roman" w:cs="Times New Roman"/>
                <w:noProof/>
              </w:rPr>
              <w:t>3.5</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Bid Submission Deadline</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_Toc155257482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30012DA2" w14:textId="2258C0C9"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3" w:history="1">
            <w:r w:rsidR="0008476A" w:rsidRPr="00084A58">
              <w:rPr>
                <w:rStyle w:val="Hyperlink"/>
                <w:rFonts w:ascii="Times New Roman" w:hAnsi="Times New Roman" w:cs="Times New Roman"/>
                <w:noProof/>
              </w:rPr>
              <w:t>3.6</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Adherence to Minimum Mandatory Requirements (Pass/Fail)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_Toc155257483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38406563" w14:textId="06B8F7CF"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4" w:history="1">
            <w:r w:rsidR="0008476A" w:rsidRPr="00084A58">
              <w:rPr>
                <w:rStyle w:val="Hyperlink"/>
                <w:rFonts w:ascii="Times New Roman" w:hAnsi="Times New Roman" w:cs="Times New Roman"/>
                <w:noProof/>
              </w:rPr>
              <w:t>3.7</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Evaluations Process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_Toc155257484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22</w:t>
            </w:r>
            <w:r w:rsidR="0008476A" w:rsidRPr="00084A58">
              <w:rPr>
                <w:rFonts w:ascii="Times New Roman" w:hAnsi="Times New Roman" w:cs="Times New Roman"/>
                <w:noProof/>
                <w:webHidden/>
              </w:rPr>
              <w:fldChar w:fldCharType="end"/>
            </w:r>
          </w:hyperlink>
        </w:p>
        <w:p w14:paraId="197E5006" w14:textId="6F2FC687"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5" w:history="1">
            <w:r w:rsidR="0008476A" w:rsidRPr="00084A58">
              <w:rPr>
                <w:rStyle w:val="Hyperlink"/>
                <w:rFonts w:ascii="Times New Roman" w:hAnsi="Times New Roman" w:cs="Times New Roman"/>
                <w:noProof/>
              </w:rPr>
              <w:t>3.8</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Evaluation Criteria</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_Toc155257485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1DD0AD7B" w14:textId="114B55BB"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6" w:history="1">
            <w:r w:rsidR="0008476A" w:rsidRPr="00084A58">
              <w:rPr>
                <w:rStyle w:val="Hyperlink"/>
                <w:rFonts w:ascii="Times New Roman" w:hAnsi="Times New Roman" w:cs="Times New Roman"/>
                <w:noProof/>
              </w:rPr>
              <w:t>3.9</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Optional Tools to Enhance Evaluation Process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_Toc155257486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23</w:t>
            </w:r>
            <w:r w:rsidR="0008476A" w:rsidRPr="00084A58">
              <w:rPr>
                <w:rFonts w:ascii="Times New Roman" w:hAnsi="Times New Roman" w:cs="Times New Roman"/>
                <w:noProof/>
                <w:webHidden/>
              </w:rPr>
              <w:fldChar w:fldCharType="end"/>
            </w:r>
          </w:hyperlink>
        </w:p>
        <w:p w14:paraId="699BFD1B" w14:textId="55C9D56B"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7" w:history="1">
            <w:r w:rsidR="0008476A" w:rsidRPr="00084A58">
              <w:rPr>
                <w:rStyle w:val="Hyperlink"/>
                <w:rFonts w:ascii="Times New Roman" w:hAnsi="Times New Roman" w:cs="Times New Roman"/>
                <w:noProof/>
              </w:rPr>
              <w:t>3.10</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Wayne RESA Option to Reject Proposals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_Toc155257487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2049E235" w14:textId="6E6AD0DD"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8" w:history="1">
            <w:r w:rsidR="0008476A" w:rsidRPr="00084A58">
              <w:rPr>
                <w:rStyle w:val="Hyperlink"/>
                <w:rFonts w:ascii="Times New Roman" w:hAnsi="Times New Roman" w:cs="Times New Roman"/>
                <w:noProof/>
              </w:rPr>
              <w:t>3.11</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Freedom of Information Act</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_Toc155257488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4D77C639" w14:textId="42112109"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89" w:history="1">
            <w:r w:rsidR="0008476A" w:rsidRPr="00084A58">
              <w:rPr>
                <w:rStyle w:val="Hyperlink"/>
                <w:rFonts w:ascii="Times New Roman" w:hAnsi="Times New Roman" w:cs="Times New Roman"/>
                <w:noProof/>
              </w:rPr>
              <w:t>3.12</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Contacts with Wayne RESA Personnel</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_Toc155257489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06FC50AD" w14:textId="217C800A"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90" w:history="1">
            <w:r w:rsidR="0008476A" w:rsidRPr="00084A58">
              <w:rPr>
                <w:rStyle w:val="Hyperlink"/>
                <w:rFonts w:ascii="Times New Roman" w:hAnsi="Times New Roman" w:cs="Times New Roman"/>
                <w:noProof/>
              </w:rPr>
              <w:t>3.13</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Final Agreement Award Determination</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_Toc155257490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18AFB9C4" w14:textId="5D545317" w:rsidR="0008476A" w:rsidRPr="00084A58" w:rsidRDefault="008C6D43" w:rsidP="0008476A">
          <w:pPr>
            <w:pStyle w:val="TOC3"/>
            <w:rPr>
              <w:rFonts w:ascii="Times New Roman" w:eastAsiaTheme="minorEastAsia" w:hAnsi="Times New Roman" w:cs="Times New Roman"/>
              <w:noProof/>
              <w:kern w:val="2"/>
              <w14:ligatures w14:val="standardContextual"/>
            </w:rPr>
          </w:pPr>
          <w:hyperlink w:anchor="_Toc155257491" w:history="1">
            <w:r w:rsidR="0008476A" w:rsidRPr="00084A58">
              <w:rPr>
                <w:rStyle w:val="Hyperlink"/>
                <w:rFonts w:ascii="Times New Roman" w:hAnsi="Times New Roman" w:cs="Times New Roman"/>
                <w:noProof/>
              </w:rPr>
              <w:t>3.14</w:t>
            </w:r>
            <w:r w:rsidR="0008476A" w:rsidRPr="00084A58">
              <w:rPr>
                <w:rFonts w:ascii="Times New Roman" w:eastAsiaTheme="minorEastAsia" w:hAnsi="Times New Roman" w:cs="Times New Roman"/>
                <w:noProof/>
                <w:kern w:val="2"/>
                <w14:ligatures w14:val="standardContextual"/>
              </w:rPr>
              <w:tab/>
            </w:r>
            <w:r w:rsidR="0008476A" w:rsidRPr="00084A58">
              <w:rPr>
                <w:rStyle w:val="Hyperlink"/>
                <w:rFonts w:ascii="Times New Roman" w:hAnsi="Times New Roman" w:cs="Times New Roman"/>
                <w:noProof/>
              </w:rPr>
              <w:t>Cancellation of Invitations for Bids or Requests for Proposals</w:t>
            </w:r>
            <w:r w:rsidR="0008476A" w:rsidRPr="00084A58">
              <w:rPr>
                <w:rFonts w:ascii="Times New Roman" w:hAnsi="Times New Roman" w:cs="Times New Roman"/>
                <w:noProof/>
                <w:webHidden/>
              </w:rPr>
              <w:tab/>
            </w:r>
            <w:r w:rsidR="0008476A" w:rsidRPr="00084A58">
              <w:rPr>
                <w:rFonts w:ascii="Times New Roman" w:hAnsi="Times New Roman" w:cs="Times New Roman"/>
                <w:noProof/>
                <w:webHidden/>
              </w:rPr>
              <w:fldChar w:fldCharType="begin"/>
            </w:r>
            <w:r w:rsidR="0008476A" w:rsidRPr="00084A58">
              <w:rPr>
                <w:rFonts w:ascii="Times New Roman" w:hAnsi="Times New Roman" w:cs="Times New Roman"/>
                <w:noProof/>
                <w:webHidden/>
              </w:rPr>
              <w:instrText xml:space="preserve"> PAGEREF _Toc155257491 \h </w:instrText>
            </w:r>
            <w:r w:rsidR="0008476A" w:rsidRPr="00084A58">
              <w:rPr>
                <w:rFonts w:ascii="Times New Roman" w:hAnsi="Times New Roman" w:cs="Times New Roman"/>
                <w:noProof/>
                <w:webHidden/>
              </w:rPr>
            </w:r>
            <w:r w:rsidR="0008476A" w:rsidRPr="00084A58">
              <w:rPr>
                <w:rFonts w:ascii="Times New Roman" w:hAnsi="Times New Roman" w:cs="Times New Roman"/>
                <w:noProof/>
                <w:webHidden/>
              </w:rPr>
              <w:fldChar w:fldCharType="separate"/>
            </w:r>
            <w:r w:rsidR="00533E7E">
              <w:rPr>
                <w:rFonts w:ascii="Times New Roman" w:hAnsi="Times New Roman" w:cs="Times New Roman"/>
                <w:noProof/>
                <w:webHidden/>
              </w:rPr>
              <w:t>24</w:t>
            </w:r>
            <w:r w:rsidR="0008476A" w:rsidRPr="00084A58">
              <w:rPr>
                <w:rFonts w:ascii="Times New Roman" w:hAnsi="Times New Roman" w:cs="Times New Roman"/>
                <w:noProof/>
                <w:webHidden/>
              </w:rPr>
              <w:fldChar w:fldCharType="end"/>
            </w:r>
          </w:hyperlink>
        </w:p>
        <w:p w14:paraId="29726E9B" w14:textId="2C41A243"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000B6182">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26</w:t>
          </w:r>
        </w:p>
        <w:p w14:paraId="3F8254DD" w14:textId="7A61AEB5"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0B6182">
            <w:rPr>
              <w:rFonts w:ascii="Times New Roman" w:hAnsi="Times New Roman" w:cs="Times New Roman"/>
            </w:rPr>
            <w:t>7</w:t>
          </w:r>
        </w:p>
        <w:p w14:paraId="3E90B7C9" w14:textId="6FA9963C"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0B6182">
            <w:rPr>
              <w:rFonts w:ascii="Times New Roman" w:hAnsi="Times New Roman" w:cs="Times New Roman"/>
            </w:rPr>
            <w:t>9</w:t>
          </w:r>
        </w:p>
        <w:p w14:paraId="05FE82CC" w14:textId="7A237D74" w:rsidR="00E77AF6" w:rsidRPr="00084A58" w:rsidRDefault="008C6D43"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2">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3">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2EA3D6AC" w:rsidR="00C746F0" w:rsidRPr="001E0844"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CB74FE">
        <w:rPr>
          <w:rFonts w:ascii="Times New Roman" w:eastAsia="Times New Roman" w:hAnsi="Times New Roman" w:cs="Times New Roman"/>
        </w:rPr>
        <w:t>Beverage Products and</w:t>
      </w:r>
      <w:r w:rsidR="00522DF8">
        <w:rPr>
          <w:rFonts w:ascii="Times New Roman" w:eastAsia="Times New Roman" w:hAnsi="Times New Roman" w:cs="Times New Roman"/>
        </w:rPr>
        <w:t xml:space="preserve"> Services</w:t>
      </w:r>
      <w:r w:rsidR="004E1D47">
        <w:rPr>
          <w:rFonts w:ascii="Times New Roman" w:eastAsia="Times New Roman" w:hAnsi="Times New Roman" w:cs="Times New Roman"/>
          <w:color w:val="000000"/>
        </w:rPr>
        <w:t xml:space="preserve"> to public municipalities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 xml:space="preserve">Enter in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569E178F" w:rsidR="000F7C64" w:rsidRDefault="00CF5A3C" w:rsidP="00AD5728">
      <w:pPr>
        <w:spacing w:after="0"/>
        <w:jc w:val="both"/>
        <w:rPr>
          <w:rFonts w:ascii="Times New Roman" w:hAnsi="Times New Roman" w:cs="Times New Roman"/>
        </w:rPr>
      </w:pPr>
      <w:r>
        <w:rPr>
          <w:rFonts w:ascii="Times New Roman" w:hAnsi="Times New Roman" w:cs="Times New Roman"/>
        </w:rPr>
        <w:t>Wayne RESA is see</w:t>
      </w:r>
      <w:r w:rsidR="00567331">
        <w:rPr>
          <w:rFonts w:ascii="Times New Roman" w:hAnsi="Times New Roman" w:cs="Times New Roman"/>
        </w:rPr>
        <w:t>k</w:t>
      </w:r>
      <w:r>
        <w:rPr>
          <w:rFonts w:ascii="Times New Roman" w:hAnsi="Times New Roman" w:cs="Times New Roman"/>
        </w:rPr>
        <w:t xml:space="preserve">ing proposals from qualified vendors to provide beverage products and associated services. This Request for Proposal (RFP) outlines the requirements for supplying a range of beverage products, including but not limited to bottled water, juices, </w:t>
      </w:r>
      <w:r w:rsidRPr="00CF5A3C">
        <w:rPr>
          <w:rFonts w:ascii="Times New Roman" w:hAnsi="Times New Roman" w:cs="Times New Roman"/>
        </w:rPr>
        <w:t>sports drinks, and other non-alcoholic beverages. The selected vendor</w:t>
      </w:r>
      <w:r>
        <w:rPr>
          <w:rFonts w:ascii="Times New Roman" w:hAnsi="Times New Roman" w:cs="Times New Roman"/>
        </w:rPr>
        <w:t>(s)</w:t>
      </w:r>
      <w:r w:rsidRPr="00CF5A3C">
        <w:rPr>
          <w:rFonts w:ascii="Times New Roman" w:hAnsi="Times New Roman" w:cs="Times New Roman"/>
        </w:rPr>
        <w:t xml:space="preserve"> will be responsible for delivering products to multiple school locations, providing equipment</w:t>
      </w:r>
      <w:r w:rsidR="00567331">
        <w:rPr>
          <w:rFonts w:ascii="Times New Roman" w:hAnsi="Times New Roman" w:cs="Times New Roman"/>
        </w:rPr>
        <w:t xml:space="preserve"> as needed</w:t>
      </w:r>
      <w:r w:rsidRPr="00CF5A3C">
        <w:rPr>
          <w:rFonts w:ascii="Times New Roman" w:hAnsi="Times New Roman" w:cs="Times New Roman"/>
        </w:rPr>
        <w:t>, and</w:t>
      </w:r>
      <w:r w:rsidR="00567331">
        <w:rPr>
          <w:rFonts w:ascii="Times New Roman" w:hAnsi="Times New Roman" w:cs="Times New Roman"/>
        </w:rPr>
        <w:t>/or</w:t>
      </w:r>
      <w:r w:rsidRPr="00CF5A3C">
        <w:rPr>
          <w:rFonts w:ascii="Times New Roman" w:hAnsi="Times New Roman" w:cs="Times New Roman"/>
        </w:rPr>
        <w:t xml:space="preserve"> offering ongoing service and support.</w:t>
      </w:r>
      <w:r>
        <w:rPr>
          <w:rFonts w:ascii="Times New Roman" w:hAnsi="Times New Roman" w:cs="Times New Roman"/>
        </w:rPr>
        <w:t xml:space="preserve"> </w:t>
      </w:r>
    </w:p>
    <w:p w14:paraId="1868AF16" w14:textId="77777777" w:rsidR="007C5978" w:rsidRDefault="007C5978" w:rsidP="00AD5728">
      <w:pPr>
        <w:spacing w:after="0"/>
        <w:jc w:val="both"/>
        <w:rPr>
          <w:rFonts w:ascii="Times New Roman" w:hAnsi="Times New Roman" w:cs="Times New Roman"/>
        </w:rPr>
      </w:pPr>
    </w:p>
    <w:p w14:paraId="532D02C6" w14:textId="2DEE4965" w:rsidR="007C5978" w:rsidRPr="00CF5A3C" w:rsidRDefault="00D01EFC" w:rsidP="00AD5728">
      <w:pPr>
        <w:spacing w:after="0"/>
        <w:jc w:val="both"/>
        <w:rPr>
          <w:rFonts w:ascii="Times New Roman" w:hAnsi="Times New Roman" w:cs="Times New Roman"/>
        </w:rPr>
      </w:pPr>
      <w:r w:rsidRPr="00271383">
        <w:rPr>
          <w:rFonts w:ascii="Times New Roman" w:hAnsi="Times New Roman" w:cs="Times New Roman"/>
          <w:b/>
          <w:bCs/>
          <w:u w:val="single"/>
        </w:rPr>
        <w:t>Objectives</w:t>
      </w:r>
      <w:r w:rsidR="007C5978" w:rsidRPr="00271383">
        <w:rPr>
          <w:rFonts w:ascii="Times New Roman" w:hAnsi="Times New Roman" w:cs="Times New Roman"/>
          <w:b/>
          <w:bCs/>
          <w:u w:val="single"/>
        </w:rPr>
        <w:t>:</w:t>
      </w:r>
      <w:r w:rsidR="00CF5A3C">
        <w:rPr>
          <w:rFonts w:ascii="Times New Roman" w:hAnsi="Times New Roman" w:cs="Times New Roman"/>
        </w:rPr>
        <w:t xml:space="preserve">  The objective of this RFP </w:t>
      </w:r>
      <w:r w:rsidR="00CF5A3C" w:rsidRPr="00CF5A3C">
        <w:rPr>
          <w:rFonts w:ascii="Times New Roman" w:hAnsi="Times New Roman" w:cs="Times New Roman"/>
        </w:rPr>
        <w:t xml:space="preserve">is to establish a comprehensive, cost-effective agreement with a single or multiple vendors who can supply high-quality beverage products and associated services </w:t>
      </w:r>
      <w:r w:rsidR="00567331">
        <w:rPr>
          <w:rFonts w:ascii="Times New Roman" w:hAnsi="Times New Roman" w:cs="Times New Roman"/>
        </w:rPr>
        <w:t xml:space="preserve">as needed </w:t>
      </w:r>
      <w:r w:rsidR="00CF5A3C" w:rsidRPr="00CF5A3C">
        <w:rPr>
          <w:rFonts w:ascii="Times New Roman" w:hAnsi="Times New Roman" w:cs="Times New Roman"/>
        </w:rPr>
        <w:t>to meet the needs of the consortium's schools.</w:t>
      </w:r>
    </w:p>
    <w:p w14:paraId="50E102CF" w14:textId="77777777" w:rsidR="0002110B" w:rsidRDefault="0002110B" w:rsidP="00AD5728">
      <w:pPr>
        <w:spacing w:after="0"/>
        <w:jc w:val="both"/>
        <w:rPr>
          <w:rFonts w:ascii="Times New Roman" w:hAnsi="Times New Roman" w:cs="Times New Roman"/>
          <w:u w:val="single"/>
        </w:rPr>
      </w:pP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Pr="006772B4" w:rsidRDefault="003A506C" w:rsidP="002E4775">
      <w:pPr>
        <w:spacing w:after="0"/>
        <w:jc w:val="both"/>
        <w:rPr>
          <w:rFonts w:ascii="Times New Roman" w:hAnsi="Times New Roman" w:cs="Times New Roman"/>
        </w:rPr>
      </w:pPr>
    </w:p>
    <w:p w14:paraId="66ACED26" w14:textId="7CE342A8" w:rsidR="003A506C" w:rsidRPr="007E4139" w:rsidRDefault="00CF5A3C" w:rsidP="00FB0BB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Product Requirements</w:t>
      </w:r>
    </w:p>
    <w:p w14:paraId="584A61EB" w14:textId="143704A6" w:rsidR="007C5978" w:rsidRDefault="005F2717" w:rsidP="007C5978">
      <w:pPr>
        <w:pStyle w:val="ListParagraph"/>
        <w:rPr>
          <w:rFonts w:ascii="Times New Roman" w:hAnsi="Times New Roman" w:cs="Times New Roman"/>
        </w:rPr>
      </w:pPr>
      <w:r>
        <w:rPr>
          <w:rFonts w:ascii="Times New Roman" w:hAnsi="Times New Roman" w:cs="Times New Roman"/>
        </w:rPr>
        <w:t xml:space="preserve">The awarded Contractor </w:t>
      </w:r>
      <w:r w:rsidR="0006277B">
        <w:rPr>
          <w:rFonts w:ascii="Times New Roman" w:hAnsi="Times New Roman" w:cs="Times New Roman"/>
        </w:rPr>
        <w:t xml:space="preserve">(Contractor) </w:t>
      </w:r>
      <w:r w:rsidR="00CF5A3C">
        <w:rPr>
          <w:rFonts w:ascii="Times New Roman" w:hAnsi="Times New Roman" w:cs="Times New Roman"/>
        </w:rPr>
        <w:t>must be able to supply the following types of beverage products:</w:t>
      </w:r>
    </w:p>
    <w:p w14:paraId="1FFBF546" w14:textId="77777777" w:rsidR="007C5978" w:rsidRDefault="007C5978" w:rsidP="0008531A">
      <w:pPr>
        <w:pStyle w:val="ListParagraph"/>
        <w:spacing w:after="0"/>
        <w:rPr>
          <w:rFonts w:ascii="Times New Roman" w:hAnsi="Times New Roman" w:cs="Times New Roman"/>
        </w:rPr>
      </w:pPr>
    </w:p>
    <w:p w14:paraId="4797B7DD" w14:textId="665C97A6" w:rsidR="00CF5A3C" w:rsidRPr="00CF5A3C" w:rsidRDefault="00CF5A3C" w:rsidP="00B71100">
      <w:pPr>
        <w:pStyle w:val="ListParagraph"/>
        <w:numPr>
          <w:ilvl w:val="0"/>
          <w:numId w:val="34"/>
        </w:numPr>
        <w:rPr>
          <w:rFonts w:ascii="Times New Roman" w:hAnsi="Times New Roman" w:cs="Times New Roman"/>
        </w:rPr>
      </w:pPr>
      <w:r w:rsidRPr="00CF5A3C">
        <w:rPr>
          <w:rFonts w:ascii="Times New Roman" w:hAnsi="Times New Roman" w:cs="Times New Roman"/>
          <w:b/>
          <w:bCs/>
        </w:rPr>
        <w:t>Water:</w:t>
      </w:r>
      <w:r w:rsidRPr="00CF5A3C">
        <w:rPr>
          <w:rFonts w:ascii="Times New Roman" w:hAnsi="Times New Roman" w:cs="Times New Roman"/>
        </w:rPr>
        <w:t xml:space="preserve"> Bottled water (various sizes)</w:t>
      </w:r>
    </w:p>
    <w:p w14:paraId="2275766C" w14:textId="1A2CB959" w:rsidR="00CF5A3C" w:rsidRPr="00CF5A3C" w:rsidRDefault="00CF5A3C" w:rsidP="00B71100">
      <w:pPr>
        <w:pStyle w:val="ListParagraph"/>
        <w:numPr>
          <w:ilvl w:val="0"/>
          <w:numId w:val="34"/>
        </w:numPr>
        <w:rPr>
          <w:rFonts w:ascii="Times New Roman" w:hAnsi="Times New Roman" w:cs="Times New Roman"/>
        </w:rPr>
      </w:pPr>
      <w:r w:rsidRPr="00CF5A3C">
        <w:rPr>
          <w:rFonts w:ascii="Times New Roman" w:hAnsi="Times New Roman" w:cs="Times New Roman"/>
          <w:b/>
          <w:bCs/>
        </w:rPr>
        <w:t>Juices:</w:t>
      </w:r>
      <w:r w:rsidRPr="00CF5A3C">
        <w:rPr>
          <w:rFonts w:ascii="Times New Roman" w:hAnsi="Times New Roman" w:cs="Times New Roman"/>
        </w:rPr>
        <w:t xml:space="preserve"> A variety of juice options, including 100% fruit juice and juice blends</w:t>
      </w:r>
    </w:p>
    <w:p w14:paraId="0F4CDE9C" w14:textId="10E6DA3D" w:rsidR="00CF5A3C" w:rsidRPr="00CF5A3C" w:rsidRDefault="00CF5A3C" w:rsidP="00B71100">
      <w:pPr>
        <w:pStyle w:val="ListParagraph"/>
        <w:numPr>
          <w:ilvl w:val="0"/>
          <w:numId w:val="34"/>
        </w:numPr>
        <w:rPr>
          <w:rFonts w:ascii="Times New Roman" w:hAnsi="Times New Roman" w:cs="Times New Roman"/>
        </w:rPr>
      </w:pPr>
      <w:r w:rsidRPr="00CF5A3C">
        <w:rPr>
          <w:rFonts w:ascii="Times New Roman" w:hAnsi="Times New Roman" w:cs="Times New Roman"/>
          <w:b/>
          <w:bCs/>
        </w:rPr>
        <w:t>Sports Drinks:</w:t>
      </w:r>
      <w:r w:rsidRPr="00CF5A3C">
        <w:rPr>
          <w:rFonts w:ascii="Times New Roman" w:hAnsi="Times New Roman" w:cs="Times New Roman"/>
        </w:rPr>
        <w:t xml:space="preserve"> Electrolyte-replenishing beverages</w:t>
      </w:r>
    </w:p>
    <w:p w14:paraId="1304C431" w14:textId="21814580" w:rsidR="00CF5A3C" w:rsidRPr="00CF5A3C" w:rsidRDefault="00CF5A3C" w:rsidP="00B71100">
      <w:pPr>
        <w:pStyle w:val="ListParagraph"/>
        <w:numPr>
          <w:ilvl w:val="0"/>
          <w:numId w:val="34"/>
        </w:numPr>
        <w:rPr>
          <w:rFonts w:ascii="Times New Roman" w:hAnsi="Times New Roman" w:cs="Times New Roman"/>
        </w:rPr>
      </w:pPr>
      <w:r w:rsidRPr="00CF5A3C">
        <w:rPr>
          <w:rFonts w:ascii="Times New Roman" w:hAnsi="Times New Roman" w:cs="Times New Roman"/>
          <w:b/>
          <w:bCs/>
        </w:rPr>
        <w:t>Carbonated Beverages:</w:t>
      </w:r>
      <w:r w:rsidRPr="00CF5A3C">
        <w:rPr>
          <w:rFonts w:ascii="Times New Roman" w:hAnsi="Times New Roman" w:cs="Times New Roman"/>
        </w:rPr>
        <w:t xml:space="preserve"> Soft drinks, including diet and regular options</w:t>
      </w:r>
    </w:p>
    <w:p w14:paraId="1DE1AAC2" w14:textId="3E061079" w:rsidR="007C5978" w:rsidRPr="00CF5A3C" w:rsidRDefault="00CF5A3C" w:rsidP="00B71100">
      <w:pPr>
        <w:pStyle w:val="ListParagraph"/>
        <w:numPr>
          <w:ilvl w:val="0"/>
          <w:numId w:val="34"/>
        </w:numPr>
        <w:rPr>
          <w:rFonts w:ascii="Times New Roman" w:hAnsi="Times New Roman" w:cs="Times New Roman"/>
        </w:rPr>
      </w:pPr>
      <w:r w:rsidRPr="00CF5A3C">
        <w:rPr>
          <w:rFonts w:ascii="Times New Roman" w:hAnsi="Times New Roman" w:cs="Times New Roman"/>
          <w:b/>
          <w:bCs/>
        </w:rPr>
        <w:t>Other Beverages:</w:t>
      </w:r>
      <w:r w:rsidRPr="00CF5A3C">
        <w:rPr>
          <w:rFonts w:ascii="Times New Roman" w:hAnsi="Times New Roman" w:cs="Times New Roman"/>
        </w:rPr>
        <w:t xml:space="preserve"> Additional beverage options such as flavored waters</w:t>
      </w:r>
      <w:r w:rsidR="000B6182">
        <w:rPr>
          <w:rFonts w:ascii="Times New Roman" w:hAnsi="Times New Roman" w:cs="Times New Roman"/>
        </w:rPr>
        <w:t xml:space="preserve"> and</w:t>
      </w:r>
      <w:r w:rsidRPr="00CF5A3C">
        <w:rPr>
          <w:rFonts w:ascii="Times New Roman" w:hAnsi="Times New Roman" w:cs="Times New Roman"/>
        </w:rPr>
        <w:t xml:space="preserve"> teas</w:t>
      </w:r>
    </w:p>
    <w:p w14:paraId="14B47B62" w14:textId="77777777" w:rsidR="009D62B9" w:rsidRPr="001E0844" w:rsidRDefault="009D62B9" w:rsidP="009D62B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1E0844" w14:paraId="1FC8EB3F" w14:textId="77777777" w:rsidTr="00935BA0">
        <w:tc>
          <w:tcPr>
            <w:tcW w:w="9350" w:type="dxa"/>
          </w:tcPr>
          <w:p w14:paraId="6AEE24CF" w14:textId="77777777" w:rsidR="009D62B9" w:rsidRPr="001E0844" w:rsidRDefault="009D62B9" w:rsidP="00935BA0">
            <w:pPr>
              <w:spacing w:after="0" w:line="240" w:lineRule="auto"/>
              <w:rPr>
                <w:rFonts w:ascii="Times New Roman" w:eastAsia="Times New Roman" w:hAnsi="Times New Roman" w:cs="Times New Roman"/>
              </w:rPr>
            </w:pPr>
          </w:p>
          <w:p w14:paraId="4D06FA9B" w14:textId="77777777" w:rsidR="009D62B9" w:rsidRPr="001E0844" w:rsidRDefault="009D62B9" w:rsidP="00935BA0">
            <w:pPr>
              <w:spacing w:after="0" w:line="240" w:lineRule="auto"/>
              <w:rPr>
                <w:rFonts w:ascii="Times New Roman" w:eastAsia="Times New Roman" w:hAnsi="Times New Roman" w:cs="Times New Roman"/>
              </w:rPr>
            </w:pPr>
          </w:p>
        </w:tc>
      </w:tr>
    </w:tbl>
    <w:p w14:paraId="2BFC9A34" w14:textId="77777777" w:rsidR="009D62B9" w:rsidRDefault="009D62B9" w:rsidP="009D62B9">
      <w:pPr>
        <w:rPr>
          <w:rFonts w:ascii="Times New Roman" w:hAnsi="Times New Roman" w:cs="Times New Roman"/>
        </w:rPr>
      </w:pPr>
    </w:p>
    <w:p w14:paraId="5B896F46" w14:textId="71979C19" w:rsidR="009D62B9" w:rsidRDefault="00CF5A3C" w:rsidP="00D85FF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Product Specifications</w:t>
      </w:r>
    </w:p>
    <w:p w14:paraId="359FDD65" w14:textId="77777777" w:rsidR="00EE028E" w:rsidRPr="000B7186" w:rsidRDefault="00EE028E" w:rsidP="000B7186">
      <w:pPr>
        <w:pStyle w:val="ListParagraph"/>
        <w:rPr>
          <w:rFonts w:ascii="Times New Roman" w:hAnsi="Times New Roman" w:cs="Times New Roman"/>
        </w:rPr>
      </w:pPr>
    </w:p>
    <w:p w14:paraId="6BBD217A" w14:textId="7A4C3B2F" w:rsidR="00CF5A3C" w:rsidRPr="00CF5A3C" w:rsidRDefault="00567331" w:rsidP="00B71100">
      <w:pPr>
        <w:pStyle w:val="ListParagraph"/>
        <w:numPr>
          <w:ilvl w:val="0"/>
          <w:numId w:val="35"/>
        </w:numPr>
        <w:rPr>
          <w:rFonts w:ascii="Times New Roman" w:hAnsi="Times New Roman" w:cs="Times New Roman"/>
        </w:rPr>
      </w:pPr>
      <w:r>
        <w:rPr>
          <w:rFonts w:ascii="Times New Roman" w:hAnsi="Times New Roman" w:cs="Times New Roman"/>
        </w:rPr>
        <w:t>Please let us know which</w:t>
      </w:r>
      <w:r w:rsidR="00CF5A3C" w:rsidRPr="00CF5A3C">
        <w:rPr>
          <w:rFonts w:ascii="Times New Roman" w:hAnsi="Times New Roman" w:cs="Times New Roman"/>
        </w:rPr>
        <w:t xml:space="preserve"> beverages comply with relevant state and federal nutritional guidelines, including the </w:t>
      </w:r>
      <w:hyperlink r:id="rId14" w:history="1">
        <w:r w:rsidR="00CF5A3C" w:rsidRPr="00567331">
          <w:rPr>
            <w:rStyle w:val="Hyperlink"/>
            <w:rFonts w:ascii="Times New Roman" w:hAnsi="Times New Roman" w:cs="Times New Roman"/>
          </w:rPr>
          <w:t>USDA’s Smart Snacks in School standards</w:t>
        </w:r>
      </w:hyperlink>
      <w:r w:rsidR="00CF5A3C" w:rsidRPr="00CF5A3C">
        <w:rPr>
          <w:rFonts w:ascii="Times New Roman" w:hAnsi="Times New Roman" w:cs="Times New Roman"/>
        </w:rPr>
        <w:t>.</w:t>
      </w:r>
      <w:r>
        <w:rPr>
          <w:rFonts w:ascii="Times New Roman" w:hAnsi="Times New Roman" w:cs="Times New Roman"/>
        </w:rPr>
        <w:t xml:space="preserve"> (List in Proposer Response Box)</w:t>
      </w:r>
    </w:p>
    <w:p w14:paraId="51BA2800" w14:textId="19666BFA" w:rsidR="00CF5A3C" w:rsidRPr="00CF5A3C" w:rsidRDefault="00CF5A3C" w:rsidP="00B71100">
      <w:pPr>
        <w:pStyle w:val="ListParagraph"/>
        <w:numPr>
          <w:ilvl w:val="0"/>
          <w:numId w:val="35"/>
        </w:numPr>
        <w:rPr>
          <w:rFonts w:ascii="Times New Roman" w:hAnsi="Times New Roman" w:cs="Times New Roman"/>
        </w:rPr>
      </w:pPr>
      <w:r w:rsidRPr="00CF5A3C">
        <w:rPr>
          <w:rFonts w:ascii="Times New Roman" w:hAnsi="Times New Roman" w:cs="Times New Roman"/>
        </w:rPr>
        <w:t>Products should have a shelf life that ensures freshness upon delivery.</w:t>
      </w:r>
    </w:p>
    <w:p w14:paraId="54B3B901" w14:textId="4C422AB5" w:rsidR="004432AB" w:rsidRPr="00CF5A3C" w:rsidRDefault="00CF5A3C" w:rsidP="00B71100">
      <w:pPr>
        <w:pStyle w:val="ListParagraph"/>
        <w:numPr>
          <w:ilvl w:val="0"/>
          <w:numId w:val="35"/>
        </w:numPr>
        <w:rPr>
          <w:rFonts w:ascii="Times New Roman" w:hAnsi="Times New Roman" w:cs="Times New Roman"/>
        </w:rPr>
      </w:pPr>
      <w:r w:rsidRPr="00CF5A3C">
        <w:rPr>
          <w:rFonts w:ascii="Times New Roman" w:hAnsi="Times New Roman" w:cs="Times New Roman"/>
        </w:rPr>
        <w:t>Nutritional information must be clearly labeled on all products.</w:t>
      </w:r>
    </w:p>
    <w:p w14:paraId="7F2A4C3A" w14:textId="77777777" w:rsidR="00852662" w:rsidRPr="001E0844" w:rsidRDefault="00852662" w:rsidP="00852662">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2662" w:rsidRPr="001E0844" w14:paraId="7BC83FB4" w14:textId="77777777" w:rsidTr="00935BA0">
        <w:tc>
          <w:tcPr>
            <w:tcW w:w="9350" w:type="dxa"/>
          </w:tcPr>
          <w:p w14:paraId="14BB5212" w14:textId="77777777" w:rsidR="00852662" w:rsidRPr="001E0844" w:rsidRDefault="00852662" w:rsidP="00935BA0">
            <w:pPr>
              <w:spacing w:after="0" w:line="240" w:lineRule="auto"/>
              <w:rPr>
                <w:rFonts w:ascii="Times New Roman" w:eastAsia="Times New Roman" w:hAnsi="Times New Roman" w:cs="Times New Roman"/>
              </w:rPr>
            </w:pPr>
          </w:p>
          <w:p w14:paraId="71483FE6" w14:textId="77777777" w:rsidR="00852662" w:rsidRPr="001E0844" w:rsidRDefault="00852662" w:rsidP="00935BA0">
            <w:pPr>
              <w:spacing w:after="0" w:line="240" w:lineRule="auto"/>
              <w:rPr>
                <w:rFonts w:ascii="Times New Roman" w:eastAsia="Times New Roman" w:hAnsi="Times New Roman" w:cs="Times New Roman"/>
              </w:rPr>
            </w:pPr>
          </w:p>
        </w:tc>
      </w:tr>
    </w:tbl>
    <w:p w14:paraId="4C40E4FC" w14:textId="77777777" w:rsidR="00852662" w:rsidRDefault="00852662" w:rsidP="00852662">
      <w:pPr>
        <w:rPr>
          <w:rFonts w:ascii="Times New Roman" w:hAnsi="Times New Roman" w:cs="Times New Roman"/>
        </w:rPr>
      </w:pPr>
    </w:p>
    <w:p w14:paraId="752A9F33" w14:textId="66E6F355" w:rsidR="00852662" w:rsidRDefault="00CF5A3C" w:rsidP="006D4B09">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Equipment Requirements</w:t>
      </w:r>
    </w:p>
    <w:p w14:paraId="3528184E" w14:textId="36AF2B86" w:rsidR="008C6390" w:rsidRDefault="008C6390" w:rsidP="002509FB">
      <w:pPr>
        <w:pStyle w:val="ListParagraph"/>
        <w:rPr>
          <w:rFonts w:ascii="Times New Roman" w:hAnsi="Times New Roman" w:cs="Times New Roman"/>
        </w:rPr>
      </w:pPr>
      <w:r>
        <w:rPr>
          <w:rFonts w:ascii="Times New Roman" w:hAnsi="Times New Roman" w:cs="Times New Roman"/>
        </w:rPr>
        <w:t xml:space="preserve">For consortium members requiring equipment, </w:t>
      </w:r>
      <w:r w:rsidR="00567331">
        <w:rPr>
          <w:rFonts w:ascii="Times New Roman" w:hAnsi="Times New Roman" w:cs="Times New Roman"/>
        </w:rPr>
        <w:t xml:space="preserve">please </w:t>
      </w:r>
      <w:r w:rsidR="00B52465">
        <w:rPr>
          <w:rFonts w:ascii="Times New Roman" w:hAnsi="Times New Roman" w:cs="Times New Roman"/>
        </w:rPr>
        <w:t>explain</w:t>
      </w:r>
      <w:r w:rsidR="00567331">
        <w:rPr>
          <w:rFonts w:ascii="Times New Roman" w:hAnsi="Times New Roman" w:cs="Times New Roman"/>
        </w:rPr>
        <w:t xml:space="preserve"> if you provide</w:t>
      </w:r>
      <w:r>
        <w:rPr>
          <w:rFonts w:ascii="Times New Roman" w:hAnsi="Times New Roman" w:cs="Times New Roman"/>
        </w:rPr>
        <w:t>, install, and maintain necessary equipment for dispensing beverages, including:</w:t>
      </w:r>
    </w:p>
    <w:p w14:paraId="050DF436" w14:textId="1D53CE39" w:rsidR="008C6390" w:rsidRPr="008C6390" w:rsidRDefault="008C6390" w:rsidP="00B71100">
      <w:pPr>
        <w:pStyle w:val="paragraph"/>
        <w:numPr>
          <w:ilvl w:val="0"/>
          <w:numId w:val="36"/>
        </w:numPr>
        <w:jc w:val="both"/>
        <w:textAlignment w:val="baseline"/>
        <w:rPr>
          <w:sz w:val="22"/>
          <w:szCs w:val="22"/>
        </w:rPr>
      </w:pPr>
      <w:r w:rsidRPr="008C6390">
        <w:rPr>
          <w:b/>
          <w:bCs/>
          <w:sz w:val="22"/>
          <w:szCs w:val="22"/>
        </w:rPr>
        <w:t>Vending Machines:</w:t>
      </w:r>
      <w:r w:rsidRPr="008C6390">
        <w:rPr>
          <w:sz w:val="22"/>
          <w:szCs w:val="22"/>
        </w:rPr>
        <w:t xml:space="preserve"> Must be energy-efficient, ADA-compliant, and capable of accepting multiple forms of payment (cash, credit/debit, contactless payment).</w:t>
      </w:r>
    </w:p>
    <w:p w14:paraId="035E7B89" w14:textId="0F68A9ED" w:rsidR="008C6390" w:rsidRPr="008C6390" w:rsidRDefault="008C6390" w:rsidP="00B71100">
      <w:pPr>
        <w:pStyle w:val="paragraph"/>
        <w:numPr>
          <w:ilvl w:val="0"/>
          <w:numId w:val="36"/>
        </w:numPr>
        <w:jc w:val="both"/>
        <w:textAlignment w:val="baseline"/>
        <w:rPr>
          <w:sz w:val="22"/>
          <w:szCs w:val="22"/>
        </w:rPr>
      </w:pPr>
      <w:r w:rsidRPr="008C6390">
        <w:rPr>
          <w:b/>
          <w:bCs/>
          <w:sz w:val="22"/>
          <w:szCs w:val="22"/>
        </w:rPr>
        <w:t>Coolers/Refrigerators:</w:t>
      </w:r>
      <w:r w:rsidRPr="008C6390">
        <w:rPr>
          <w:sz w:val="22"/>
          <w:szCs w:val="22"/>
        </w:rPr>
        <w:t xml:space="preserve"> For storing and displaying beverages in cafeterias or other school locations.</w:t>
      </w:r>
    </w:p>
    <w:p w14:paraId="36AEE778" w14:textId="3D4BA125" w:rsidR="00512190" w:rsidRPr="008C6390" w:rsidRDefault="008C6390" w:rsidP="00B71100">
      <w:pPr>
        <w:pStyle w:val="paragraph"/>
        <w:numPr>
          <w:ilvl w:val="0"/>
          <w:numId w:val="36"/>
        </w:numPr>
        <w:spacing w:before="0" w:beforeAutospacing="0" w:after="0" w:afterAutospacing="0"/>
        <w:jc w:val="both"/>
        <w:textAlignment w:val="baseline"/>
        <w:rPr>
          <w:rStyle w:val="eop"/>
          <w:sz w:val="22"/>
          <w:szCs w:val="22"/>
          <w:lang w:val="en"/>
        </w:rPr>
      </w:pPr>
      <w:r w:rsidRPr="008C6390">
        <w:rPr>
          <w:rFonts w:eastAsia="Calibri"/>
          <w:b/>
          <w:bCs/>
          <w:sz w:val="22"/>
          <w:szCs w:val="22"/>
        </w:rPr>
        <w:t>Dispensers:</w:t>
      </w:r>
      <w:r w:rsidRPr="008C6390">
        <w:rPr>
          <w:rFonts w:eastAsia="Calibri"/>
          <w:sz w:val="22"/>
          <w:szCs w:val="22"/>
        </w:rPr>
        <w:t xml:space="preserve"> For bulk beverage options such as water or juice.</w:t>
      </w:r>
      <w:r w:rsidR="007C5978" w:rsidRPr="008C6390">
        <w:rPr>
          <w:rStyle w:val="eop"/>
          <w:color w:val="000000"/>
          <w:sz w:val="22"/>
          <w:szCs w:val="22"/>
        </w:rPr>
        <w:t> </w:t>
      </w:r>
    </w:p>
    <w:p w14:paraId="186AC26D" w14:textId="77777777" w:rsidR="008C6390" w:rsidRPr="008C6390" w:rsidRDefault="008C6390" w:rsidP="008C6390">
      <w:pPr>
        <w:pStyle w:val="paragraph"/>
        <w:spacing w:before="0" w:beforeAutospacing="0" w:after="0" w:afterAutospacing="0"/>
        <w:ind w:left="870"/>
        <w:jc w:val="both"/>
        <w:textAlignment w:val="baseline"/>
        <w:rPr>
          <w:sz w:val="22"/>
          <w:szCs w:val="22"/>
          <w:lang w:val="en"/>
        </w:rPr>
      </w:pPr>
    </w:p>
    <w:p w14:paraId="19C3EC9C"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23B525D2" w14:textId="77777777" w:rsidTr="00A90C92">
        <w:tc>
          <w:tcPr>
            <w:tcW w:w="9350" w:type="dxa"/>
          </w:tcPr>
          <w:p w14:paraId="0C58CB48" w14:textId="77777777" w:rsidR="007E4139" w:rsidRPr="001E0844" w:rsidRDefault="007E4139" w:rsidP="00A90C92">
            <w:pPr>
              <w:spacing w:after="0" w:line="240" w:lineRule="auto"/>
              <w:rPr>
                <w:rFonts w:ascii="Times New Roman" w:eastAsia="Times New Roman" w:hAnsi="Times New Roman" w:cs="Times New Roman"/>
              </w:rPr>
            </w:pPr>
          </w:p>
          <w:p w14:paraId="457B3BE2" w14:textId="77777777" w:rsidR="007E4139" w:rsidRPr="001E0844" w:rsidRDefault="007E4139" w:rsidP="00A90C92">
            <w:pPr>
              <w:spacing w:after="0" w:line="240" w:lineRule="auto"/>
              <w:rPr>
                <w:rFonts w:ascii="Times New Roman" w:eastAsia="Times New Roman" w:hAnsi="Times New Roman" w:cs="Times New Roman"/>
              </w:rPr>
            </w:pPr>
          </w:p>
        </w:tc>
      </w:tr>
    </w:tbl>
    <w:p w14:paraId="77789F29" w14:textId="77777777" w:rsidR="007E4139" w:rsidRPr="003C52A2" w:rsidRDefault="007E4139" w:rsidP="007E4139">
      <w:pPr>
        <w:pStyle w:val="ListParagraph"/>
        <w:ind w:left="1080"/>
        <w:rPr>
          <w:rFonts w:ascii="Times New Roman" w:hAnsi="Times New Roman" w:cs="Times New Roman"/>
          <w:lang w:val="en"/>
        </w:rPr>
      </w:pPr>
    </w:p>
    <w:p w14:paraId="26ABB1FC" w14:textId="452BFA86" w:rsidR="00EF46AB" w:rsidRDefault="008C6390" w:rsidP="00FB0BBD">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Maintenance and Support</w:t>
      </w:r>
      <w:r w:rsidR="00632DD2">
        <w:rPr>
          <w:rFonts w:ascii="Times New Roman" w:hAnsi="Times New Roman" w:cs="Times New Roman"/>
          <w:b/>
          <w:bCs/>
          <w:u w:val="single"/>
        </w:rPr>
        <w:t xml:space="preserve"> </w:t>
      </w:r>
    </w:p>
    <w:p w14:paraId="34911A03" w14:textId="6B8B1C23" w:rsidR="00567331" w:rsidRPr="00567331" w:rsidRDefault="00567331" w:rsidP="00567331">
      <w:pPr>
        <w:pStyle w:val="ListParagraph"/>
        <w:spacing w:after="0"/>
        <w:jc w:val="both"/>
        <w:rPr>
          <w:rFonts w:ascii="Times New Roman" w:hAnsi="Times New Roman" w:cs="Times New Roman"/>
        </w:rPr>
      </w:pPr>
      <w:r>
        <w:rPr>
          <w:rFonts w:ascii="Times New Roman" w:hAnsi="Times New Roman" w:cs="Times New Roman"/>
        </w:rPr>
        <w:t xml:space="preserve">For consortium members requiring equipment, please </w:t>
      </w:r>
      <w:r w:rsidR="00B52465">
        <w:rPr>
          <w:rFonts w:ascii="Times New Roman" w:hAnsi="Times New Roman" w:cs="Times New Roman"/>
        </w:rPr>
        <w:t>explain</w:t>
      </w:r>
      <w:r>
        <w:rPr>
          <w:rFonts w:ascii="Times New Roman" w:hAnsi="Times New Roman" w:cs="Times New Roman"/>
        </w:rPr>
        <w:t xml:space="preserve"> the following:</w:t>
      </w:r>
    </w:p>
    <w:p w14:paraId="1B5059BA"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6E19B81F" w14:textId="42B029E2" w:rsidR="008C6390" w:rsidRPr="008C6390" w:rsidRDefault="00567331" w:rsidP="00B71100">
      <w:pPr>
        <w:pStyle w:val="ListParagraph"/>
        <w:numPr>
          <w:ilvl w:val="1"/>
          <w:numId w:val="37"/>
        </w:numPr>
        <w:jc w:val="both"/>
        <w:rPr>
          <w:rFonts w:ascii="Times New Roman" w:hAnsi="Times New Roman" w:cs="Times New Roman"/>
        </w:rPr>
      </w:pPr>
      <w:r>
        <w:rPr>
          <w:rFonts w:ascii="Times New Roman" w:hAnsi="Times New Roman" w:cs="Times New Roman"/>
        </w:rPr>
        <w:t>Frequency of regular</w:t>
      </w:r>
      <w:r w:rsidR="008C6390" w:rsidRPr="008C6390">
        <w:rPr>
          <w:rFonts w:ascii="Times New Roman" w:hAnsi="Times New Roman" w:cs="Times New Roman"/>
        </w:rPr>
        <w:t xml:space="preserve"> maintenance and service for all equipment to ensure proper operation.</w:t>
      </w:r>
    </w:p>
    <w:p w14:paraId="56BE7FAB" w14:textId="3BB61DA3" w:rsidR="007E4139" w:rsidRDefault="00567331" w:rsidP="00B71100">
      <w:pPr>
        <w:pStyle w:val="ListParagraph"/>
        <w:numPr>
          <w:ilvl w:val="1"/>
          <w:numId w:val="37"/>
        </w:numPr>
        <w:jc w:val="both"/>
        <w:rPr>
          <w:rFonts w:ascii="Times New Roman" w:hAnsi="Times New Roman" w:cs="Times New Roman"/>
        </w:rPr>
      </w:pPr>
      <w:r>
        <w:rPr>
          <w:rFonts w:ascii="Times New Roman" w:hAnsi="Times New Roman" w:cs="Times New Roman"/>
        </w:rPr>
        <w:t>S</w:t>
      </w:r>
      <w:r w:rsidR="008C6390" w:rsidRPr="008C6390">
        <w:rPr>
          <w:rFonts w:ascii="Times New Roman" w:hAnsi="Times New Roman" w:cs="Times New Roman"/>
        </w:rPr>
        <w:t>ervice response time for any equipment issues.</w:t>
      </w:r>
      <w:r w:rsidR="007E4139" w:rsidRPr="007E4139">
        <w:rPr>
          <w:rFonts w:ascii="Times New Roman" w:hAnsi="Times New Roman" w:cs="Times New Roman"/>
        </w:rPr>
        <w:t> </w:t>
      </w:r>
    </w:p>
    <w:p w14:paraId="077268C0" w14:textId="7D8E484F" w:rsidR="00B52465" w:rsidRDefault="00B52465" w:rsidP="00B71100">
      <w:pPr>
        <w:pStyle w:val="ListParagraph"/>
        <w:numPr>
          <w:ilvl w:val="1"/>
          <w:numId w:val="37"/>
        </w:numPr>
        <w:jc w:val="both"/>
        <w:rPr>
          <w:rFonts w:ascii="Times New Roman" w:hAnsi="Times New Roman" w:cs="Times New Roman"/>
        </w:rPr>
      </w:pPr>
      <w:r>
        <w:rPr>
          <w:rFonts w:ascii="Times New Roman" w:hAnsi="Times New Roman" w:cs="Times New Roman"/>
        </w:rPr>
        <w:t>Support center contact for any equipment issues.</w:t>
      </w:r>
    </w:p>
    <w:p w14:paraId="5944087A"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5C5776A0" w14:textId="77777777" w:rsidR="008C6390" w:rsidRDefault="008C6390" w:rsidP="008C6390">
      <w:pPr>
        <w:pStyle w:val="ListParagraph"/>
        <w:spacing w:after="0"/>
        <w:jc w:val="both"/>
        <w:rPr>
          <w:rFonts w:ascii="Times New Roman" w:hAnsi="Times New Roman" w:cs="Times New Roman"/>
          <w:b/>
          <w:bCs/>
          <w:u w:val="single"/>
        </w:rPr>
      </w:pPr>
    </w:p>
    <w:p w14:paraId="489BD3C7" w14:textId="7B2AFD6A" w:rsidR="008C6390" w:rsidRPr="007E4139" w:rsidRDefault="008C6390" w:rsidP="008C6390">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 xml:space="preserve">Delivery and Distribution </w:t>
      </w:r>
    </w:p>
    <w:p w14:paraId="1D1844F9" w14:textId="77777777" w:rsidR="008C6390" w:rsidRPr="007E4139" w:rsidRDefault="008C6390" w:rsidP="008C6390">
      <w:pPr>
        <w:pStyle w:val="ListParagraph"/>
        <w:rPr>
          <w:rFonts w:ascii="Times New Roman" w:hAnsi="Times New Roman" w:cs="Times New Roman"/>
        </w:rPr>
      </w:pPr>
      <w:r w:rsidRPr="007E4139">
        <w:rPr>
          <w:rFonts w:ascii="Times New Roman" w:hAnsi="Times New Roman" w:cs="Times New Roman"/>
        </w:rPr>
        <w:t> </w:t>
      </w:r>
    </w:p>
    <w:p w14:paraId="4A80DA0D" w14:textId="0628E07C" w:rsidR="008C6390" w:rsidRPr="00B057C0" w:rsidRDefault="008C6390" w:rsidP="00B71100">
      <w:pPr>
        <w:pStyle w:val="ListParagraph"/>
        <w:widowControl w:val="0"/>
        <w:numPr>
          <w:ilvl w:val="0"/>
          <w:numId w:val="38"/>
        </w:numPr>
        <w:spacing w:after="0" w:line="240" w:lineRule="auto"/>
        <w:jc w:val="both"/>
        <w:rPr>
          <w:rFonts w:ascii="Times New Roman" w:hAnsi="Times New Roman" w:cs="Times New Roman"/>
        </w:rPr>
      </w:pPr>
      <w:r w:rsidRPr="00B057C0">
        <w:rPr>
          <w:rFonts w:ascii="Times New Roman" w:hAnsi="Times New Roman" w:cs="Times New Roman"/>
          <w:b/>
          <w:bCs/>
        </w:rPr>
        <w:t>Delivery Schedule:</w:t>
      </w:r>
      <w:r w:rsidRPr="00B057C0">
        <w:rPr>
          <w:rFonts w:ascii="Times New Roman" w:hAnsi="Times New Roman" w:cs="Times New Roman"/>
        </w:rPr>
        <w:t xml:space="preserve"> Deliveries should be made during school hours, with consideration for minimizing disruption to the educational environment.</w:t>
      </w:r>
    </w:p>
    <w:p w14:paraId="4C39F100" w14:textId="615BEF25" w:rsidR="008C6390" w:rsidRPr="00B057C0" w:rsidRDefault="008C6390" w:rsidP="00B71100">
      <w:pPr>
        <w:pStyle w:val="ListParagraph"/>
        <w:widowControl w:val="0"/>
        <w:numPr>
          <w:ilvl w:val="0"/>
          <w:numId w:val="38"/>
        </w:numPr>
        <w:spacing w:after="0" w:line="240" w:lineRule="auto"/>
        <w:jc w:val="both"/>
        <w:rPr>
          <w:rFonts w:ascii="Times New Roman" w:hAnsi="Times New Roman" w:cs="Times New Roman"/>
        </w:rPr>
      </w:pPr>
      <w:r w:rsidRPr="00B057C0">
        <w:rPr>
          <w:rFonts w:ascii="Times New Roman" w:hAnsi="Times New Roman" w:cs="Times New Roman"/>
          <w:b/>
          <w:bCs/>
        </w:rPr>
        <w:t>Delivery Locations:</w:t>
      </w:r>
      <w:r w:rsidRPr="00B057C0">
        <w:rPr>
          <w:rFonts w:ascii="Times New Roman" w:hAnsi="Times New Roman" w:cs="Times New Roman"/>
        </w:rPr>
        <w:t xml:space="preserve"> Contractor(s) will be required to deliver products to multiple school locations</w:t>
      </w:r>
      <w:r w:rsidR="00B057C0" w:rsidRPr="00B057C0">
        <w:rPr>
          <w:rFonts w:ascii="Times New Roman" w:hAnsi="Times New Roman" w:cs="Times New Roman"/>
        </w:rPr>
        <w:t>. Please specify which regions you are able to service</w:t>
      </w:r>
      <w:r w:rsidRPr="00B057C0">
        <w:rPr>
          <w:rFonts w:ascii="Times New Roman" w:hAnsi="Times New Roman" w:cs="Times New Roman"/>
        </w:rPr>
        <w:t xml:space="preserve"> </w:t>
      </w:r>
      <w:r w:rsidR="00B057C0" w:rsidRPr="00B057C0">
        <w:rPr>
          <w:rFonts w:ascii="Times New Roman" w:hAnsi="Times New Roman" w:cs="Times New Roman"/>
        </w:rPr>
        <w:t xml:space="preserve">by selecting the regions from </w:t>
      </w:r>
      <w:r w:rsidR="00B057C0" w:rsidRPr="00B52465">
        <w:rPr>
          <w:rFonts w:ascii="Times New Roman" w:hAnsi="Times New Roman" w:cs="Times New Roman"/>
          <w:b/>
          <w:bCs/>
        </w:rPr>
        <w:t>APPENDIX A – Services Regional Map</w:t>
      </w:r>
      <w:r w:rsidRPr="00B52465">
        <w:rPr>
          <w:rFonts w:ascii="Times New Roman" w:hAnsi="Times New Roman" w:cs="Times New Roman"/>
          <w:b/>
          <w:bCs/>
        </w:rPr>
        <w:t>.</w:t>
      </w:r>
    </w:p>
    <w:p w14:paraId="164834F2" w14:textId="600166B6" w:rsidR="008C6390" w:rsidRPr="008C6390" w:rsidRDefault="008C6390" w:rsidP="00B71100">
      <w:pPr>
        <w:pStyle w:val="ListParagraph"/>
        <w:widowControl w:val="0"/>
        <w:numPr>
          <w:ilvl w:val="0"/>
          <w:numId w:val="38"/>
        </w:numPr>
        <w:spacing w:after="0" w:line="240" w:lineRule="auto"/>
        <w:jc w:val="both"/>
        <w:rPr>
          <w:rFonts w:ascii="Times New Roman" w:eastAsia="Times New Roman" w:hAnsi="Times New Roman" w:cs="Times New Roman"/>
          <w:b/>
        </w:rPr>
      </w:pPr>
      <w:r w:rsidRPr="008C6390">
        <w:rPr>
          <w:rFonts w:ascii="Times New Roman" w:hAnsi="Times New Roman" w:cs="Times New Roman"/>
          <w:b/>
          <w:bCs/>
        </w:rPr>
        <w:t>Inventory Management:</w:t>
      </w:r>
      <w:r w:rsidRPr="008C6390">
        <w:rPr>
          <w:rFonts w:ascii="Times New Roman" w:hAnsi="Times New Roman" w:cs="Times New Roman"/>
        </w:rPr>
        <w:t xml:space="preserve"> </w:t>
      </w:r>
      <w:r w:rsidR="00B52465">
        <w:rPr>
          <w:rFonts w:ascii="Times New Roman" w:hAnsi="Times New Roman" w:cs="Times New Roman"/>
        </w:rPr>
        <w:t>Do you offer any inventory level monitoring? If so, please explain.</w:t>
      </w:r>
    </w:p>
    <w:p w14:paraId="437442ED" w14:textId="77777777" w:rsidR="008C6390" w:rsidRPr="008C6390" w:rsidRDefault="008C6390" w:rsidP="008C6390">
      <w:pPr>
        <w:pStyle w:val="ListParagraph"/>
        <w:widowControl w:val="0"/>
        <w:spacing w:after="0" w:line="240" w:lineRule="auto"/>
        <w:ind w:left="1080"/>
        <w:jc w:val="both"/>
        <w:rPr>
          <w:rFonts w:ascii="Times New Roman" w:eastAsia="Times New Roman" w:hAnsi="Times New Roman" w:cs="Times New Roman"/>
          <w:b/>
        </w:rPr>
      </w:pPr>
    </w:p>
    <w:p w14:paraId="6FB3041B" w14:textId="77777777" w:rsidR="008C6390" w:rsidRPr="001E0844" w:rsidRDefault="008C6390" w:rsidP="008C6390">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C6390" w:rsidRPr="001E0844" w14:paraId="3116E973" w14:textId="77777777" w:rsidTr="00B539DB">
        <w:tc>
          <w:tcPr>
            <w:tcW w:w="9350" w:type="dxa"/>
          </w:tcPr>
          <w:p w14:paraId="6B23DAB7" w14:textId="77777777" w:rsidR="008C6390" w:rsidRPr="001E0844" w:rsidRDefault="008C6390" w:rsidP="00B539DB">
            <w:pPr>
              <w:spacing w:after="0" w:line="240" w:lineRule="auto"/>
              <w:rPr>
                <w:rFonts w:ascii="Times New Roman" w:eastAsia="Times New Roman" w:hAnsi="Times New Roman" w:cs="Times New Roman"/>
              </w:rPr>
            </w:pPr>
          </w:p>
          <w:p w14:paraId="598A7E2A" w14:textId="77777777" w:rsidR="008C6390" w:rsidRPr="001E0844" w:rsidRDefault="008C6390" w:rsidP="00B539DB">
            <w:pPr>
              <w:spacing w:after="0" w:line="240" w:lineRule="auto"/>
              <w:rPr>
                <w:rFonts w:ascii="Times New Roman" w:eastAsia="Times New Roman" w:hAnsi="Times New Roman" w:cs="Times New Roman"/>
              </w:rPr>
            </w:pPr>
          </w:p>
        </w:tc>
      </w:tr>
    </w:tbl>
    <w:p w14:paraId="5706B299" w14:textId="77777777" w:rsidR="008C6390" w:rsidRPr="007E4139" w:rsidRDefault="008C6390" w:rsidP="008C6390">
      <w:pPr>
        <w:jc w:val="both"/>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39C12AC8"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79DB5CC4" w:rsidR="00C746F0" w:rsidRPr="00D56116" w:rsidRDefault="00756173" w:rsidP="00D56116">
      <w:pPr>
        <w:pStyle w:val="Heading3"/>
        <w:jc w:val="both"/>
      </w:pPr>
      <w:bookmarkStart w:id="51" w:name="_Toc154129601"/>
      <w:bookmarkStart w:id="52" w:name="_Toc154129730"/>
      <w:bookmarkStart w:id="53" w:name="_Toc155257465"/>
      <w:r w:rsidRPr="00D56116">
        <w:t>1.5</w:t>
      </w:r>
      <w:r w:rsidRPr="00D56116">
        <w:tab/>
        <w:t>Product Specifications</w:t>
      </w:r>
      <w:bookmarkEnd w:id="51"/>
      <w:bookmarkEnd w:id="52"/>
      <w:bookmarkEnd w:id="53"/>
    </w:p>
    <w:p w14:paraId="229F1366" w14:textId="77777777" w:rsidR="00C746F0" w:rsidRDefault="00756173" w:rsidP="00D56116">
      <w:pPr>
        <w:spacing w:after="0" w:line="240" w:lineRule="auto"/>
        <w:jc w:val="both"/>
        <w:rPr>
          <w:rFonts w:ascii="Times New Roman" w:eastAsia="Times New Roman" w:hAnsi="Times New Roman" w:cs="Times New Roman"/>
        </w:rPr>
      </w:pPr>
      <w:r w:rsidRPr="00D56116">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4B0C3280" w14:textId="77777777" w:rsidR="006F5E94" w:rsidRDefault="006F5E94" w:rsidP="00D56116">
      <w:pPr>
        <w:spacing w:after="0" w:line="240" w:lineRule="auto"/>
        <w:jc w:val="both"/>
        <w:rPr>
          <w:rFonts w:ascii="Times New Roman" w:eastAsia="Times New Roman" w:hAnsi="Times New Roman" w:cs="Times New Roman"/>
        </w:rPr>
      </w:pPr>
    </w:p>
    <w:p w14:paraId="2B90FB9A" w14:textId="77777777" w:rsidR="006F5E94" w:rsidRDefault="006F5E94" w:rsidP="006F5E94">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41102B5" w14:textId="77777777" w:rsidR="006F5E94" w:rsidRDefault="006F5E94" w:rsidP="006F5E94">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6F5E94" w14:paraId="18C399E4" w14:textId="77777777" w:rsidTr="00B16F34">
        <w:tc>
          <w:tcPr>
            <w:tcW w:w="9350" w:type="dxa"/>
          </w:tcPr>
          <w:p w14:paraId="4BA1C9B2" w14:textId="77777777" w:rsidR="006F5E94" w:rsidRDefault="006F5E94" w:rsidP="00B16F3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0D4B782" w14:textId="77777777" w:rsidR="006F5E94" w:rsidRDefault="006F5E94" w:rsidP="00D56116">
      <w:pPr>
        <w:spacing w:after="0" w:line="240" w:lineRule="auto"/>
        <w:jc w:val="both"/>
        <w:rPr>
          <w:rFonts w:ascii="Times New Roman" w:eastAsia="Times New Roman" w:hAnsi="Times New Roman" w:cs="Times New Roman"/>
        </w:rPr>
      </w:pPr>
    </w:p>
    <w:p w14:paraId="04A85C34" w14:textId="77777777" w:rsidR="006F5E94" w:rsidRDefault="006F5E94" w:rsidP="00D56116">
      <w:pPr>
        <w:spacing w:after="0" w:line="240" w:lineRule="auto"/>
        <w:jc w:val="both"/>
        <w:rPr>
          <w:rFonts w:ascii="Times New Roman" w:eastAsia="Times New Roman" w:hAnsi="Times New Roman" w:cs="Times New Roman"/>
        </w:rPr>
      </w:pPr>
    </w:p>
    <w:p w14:paraId="6E98CB93" w14:textId="4B3D6A73" w:rsidR="006F5E94" w:rsidRDefault="006F5E94" w:rsidP="006F5E9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Pr>
          <w:rFonts w:ascii="Times New Roman" w:eastAsia="Times New Roman" w:hAnsi="Times New Roman" w:cs="Times New Roman"/>
          <w:b/>
          <w:bCs/>
          <w:iCs/>
          <w:color w:val="000000"/>
        </w:rPr>
        <w:t>5</w:t>
      </w:r>
      <w:r w:rsidRPr="00D56116">
        <w:rPr>
          <w:rFonts w:ascii="Times New Roman" w:eastAsia="Times New Roman" w:hAnsi="Times New Roman" w:cs="Times New Roman"/>
          <w:b/>
          <w:bCs/>
          <w:iCs/>
          <w:color w:val="000000"/>
        </w:rPr>
        <w:t>.1</w:t>
      </w:r>
      <w:r w:rsidRPr="00D56116">
        <w:rPr>
          <w:rFonts w:ascii="Times New Roman" w:eastAsia="Times New Roman" w:hAnsi="Times New Roman" w:cs="Times New Roman"/>
          <w:b/>
          <w:bCs/>
          <w:iCs/>
          <w:color w:val="000000"/>
        </w:rPr>
        <w:tab/>
      </w:r>
      <w:r>
        <w:rPr>
          <w:rFonts w:ascii="Times New Roman" w:eastAsia="Times New Roman" w:hAnsi="Times New Roman" w:cs="Times New Roman"/>
          <w:b/>
          <w:bCs/>
          <w:iCs/>
          <w:color w:val="000000"/>
        </w:rPr>
        <w:t>Buy American Act</w:t>
      </w:r>
    </w:p>
    <w:p w14:paraId="6DC9CD23" w14:textId="77777777" w:rsidR="006F5E94" w:rsidRDefault="006F5E94" w:rsidP="006F5E9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4479F60A" w14:textId="21EF4166" w:rsidR="006F5E94" w:rsidRPr="006F5E94" w:rsidRDefault="006F5E94" w:rsidP="006F5E9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6F5E94">
        <w:rPr>
          <w:rFonts w:ascii="Times New Roman" w:eastAsia="Times New Roman" w:hAnsi="Times New Roman" w:cs="Times New Roman"/>
          <w:color w:val="000000"/>
        </w:rPr>
        <w:t>Buy American provision for school customers. S</w:t>
      </w:r>
      <w:r w:rsidR="007676B0">
        <w:rPr>
          <w:rFonts w:ascii="Times New Roman" w:eastAsia="Times New Roman" w:hAnsi="Times New Roman" w:cs="Times New Roman"/>
          <w:color w:val="000000"/>
        </w:rPr>
        <w:t xml:space="preserve">chool </w:t>
      </w:r>
      <w:r w:rsidRPr="006F5E94">
        <w:rPr>
          <w:rFonts w:ascii="Times New Roman" w:eastAsia="Times New Roman" w:hAnsi="Times New Roman" w:cs="Times New Roman"/>
          <w:color w:val="000000"/>
        </w:rPr>
        <w:t>F</w:t>
      </w:r>
      <w:r w:rsidR="007676B0">
        <w:rPr>
          <w:rFonts w:ascii="Times New Roman" w:eastAsia="Times New Roman" w:hAnsi="Times New Roman" w:cs="Times New Roman"/>
          <w:color w:val="000000"/>
        </w:rPr>
        <w:t xml:space="preserve">ood </w:t>
      </w:r>
      <w:r w:rsidRPr="006F5E94">
        <w:rPr>
          <w:rFonts w:ascii="Times New Roman" w:eastAsia="Times New Roman" w:hAnsi="Times New Roman" w:cs="Times New Roman"/>
          <w:color w:val="000000"/>
        </w:rPr>
        <w:t>A</w:t>
      </w:r>
      <w:r w:rsidR="007676B0">
        <w:rPr>
          <w:rFonts w:ascii="Times New Roman" w:eastAsia="Times New Roman" w:hAnsi="Times New Roman" w:cs="Times New Roman"/>
          <w:color w:val="000000"/>
        </w:rPr>
        <w:t>uthorities (SFAs),</w:t>
      </w:r>
      <w:r w:rsidRPr="006F5E94">
        <w:rPr>
          <w:rFonts w:ascii="Times New Roman" w:eastAsia="Times New Roman" w:hAnsi="Times New Roman" w:cs="Times New Roman"/>
          <w:color w:val="000000"/>
        </w:rPr>
        <w:t xml:space="preserve"> by participating in the federal school meal programs</w:t>
      </w:r>
      <w:r w:rsidR="007676B0">
        <w:rPr>
          <w:rFonts w:ascii="Times New Roman" w:eastAsia="Times New Roman" w:hAnsi="Times New Roman" w:cs="Times New Roman"/>
          <w:color w:val="000000"/>
        </w:rPr>
        <w:t>,</w:t>
      </w:r>
      <w:r w:rsidRPr="006F5E94">
        <w:rPr>
          <w:rFonts w:ascii="Times New Roman" w:eastAsia="Times New Roman" w:hAnsi="Times New Roman" w:cs="Times New Roman"/>
          <w:color w:val="000000"/>
        </w:rPr>
        <w:t xml:space="preserve"> is required to purchase domestic commodities and products for school meals to the maximum extent practicable. Domestic commodity or product means an agricultural commodity that is produced in the U.S. and a food product that is processed in the U.S. substantially (at least 51 percent) using agricultural commodities that are produced in the U.S. (7 CFR 210.21</w:t>
      </w:r>
      <w:r>
        <w:rPr>
          <w:rFonts w:ascii="Times New Roman" w:eastAsia="Times New Roman" w:hAnsi="Times New Roman" w:cs="Times New Roman"/>
          <w:color w:val="000000"/>
        </w:rPr>
        <w:t xml:space="preserve"> (d) and Memo SP 38-2017</w:t>
      </w:r>
      <w:r w:rsidRPr="006F5E94">
        <w:rPr>
          <w:rFonts w:ascii="Times New Roman" w:eastAsia="Times New Roman" w:hAnsi="Times New Roman" w:cs="Times New Roman"/>
          <w:color w:val="000000"/>
        </w:rPr>
        <w:t>). Selected Vendor</w:t>
      </w:r>
      <w:r w:rsidR="007676B0">
        <w:rPr>
          <w:rFonts w:ascii="Times New Roman" w:eastAsia="Times New Roman" w:hAnsi="Times New Roman" w:cs="Times New Roman"/>
          <w:color w:val="000000"/>
        </w:rPr>
        <w:t>(s)</w:t>
      </w:r>
      <w:r w:rsidRPr="006F5E94">
        <w:rPr>
          <w:rFonts w:ascii="Times New Roman" w:eastAsia="Times New Roman" w:hAnsi="Times New Roman" w:cs="Times New Roman"/>
          <w:color w:val="000000"/>
        </w:rPr>
        <w:t xml:space="preserve"> must be able to comply with this requirement.</w:t>
      </w:r>
    </w:p>
    <w:p w14:paraId="229F1368" w14:textId="77777777" w:rsidR="00C746F0" w:rsidRDefault="00C746F0">
      <w:pPr>
        <w:widowControl w:val="0"/>
        <w:spacing w:after="0" w:line="240" w:lineRule="auto"/>
        <w:jc w:val="both"/>
        <w:rPr>
          <w:rFonts w:ascii="Times New Roman" w:eastAsia="Times New Roman" w:hAnsi="Times New Roman" w:cs="Times New Roman"/>
          <w:b/>
        </w:rPr>
      </w:pPr>
    </w:p>
    <w:p w14:paraId="229F136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6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6D" w14:textId="77777777" w:rsidTr="0076497E">
        <w:tc>
          <w:tcPr>
            <w:tcW w:w="9350" w:type="dxa"/>
          </w:tcPr>
          <w:p w14:paraId="229F136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6E" w14:textId="77777777" w:rsidR="00C746F0" w:rsidRDefault="00C746F0">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t>1.7</w:t>
      </w:r>
      <w:r>
        <w:tab/>
        <w:t>Customer Service</w:t>
      </w:r>
      <w:bookmarkEnd w:id="57"/>
      <w:bookmarkEnd w:id="58"/>
      <w:bookmarkEnd w:id="59"/>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pPr>
        <w:pStyle w:val="Heading3"/>
      </w:pPr>
      <w:bookmarkStart w:id="66" w:name="_Toc154129606"/>
      <w:bookmarkStart w:id="67" w:name="_Toc154129735"/>
      <w:bookmarkStart w:id="68" w:name="_Toc155257470"/>
    </w:p>
    <w:p w14:paraId="229F13A8" w14:textId="767C5129" w:rsidR="00C746F0" w:rsidRDefault="00756173">
      <w:pPr>
        <w:pStyle w:val="Heading3"/>
      </w:pPr>
      <w:r>
        <w:t>1.10</w:t>
      </w:r>
      <w:r>
        <w:tab/>
        <w:t>Management and Staff</w:t>
      </w:r>
      <w:bookmarkEnd w:id="66"/>
      <w:bookmarkEnd w:id="67"/>
      <w:bookmarkEnd w:id="68"/>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lastRenderedPageBreak/>
        <w:t>Project Management of the contract.</w:t>
      </w:r>
      <w:r>
        <w:rPr>
          <w:rStyle w:val="eop"/>
          <w:color w:val="000000"/>
          <w:sz w:val="22"/>
          <w:szCs w:val="22"/>
        </w:rPr>
        <w:t> </w:t>
      </w:r>
    </w:p>
    <w:p w14:paraId="4E3D74B8"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Staffing and responsibilities.</w:t>
      </w:r>
      <w:r>
        <w:rPr>
          <w:rStyle w:val="eop"/>
          <w:color w:val="000000"/>
          <w:sz w:val="22"/>
          <w:szCs w:val="22"/>
        </w:rPr>
        <w:t> </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awarded vendor agrees to provide pricing to Wayne RESA and its participating entities that are the lowest pricing available, and the pricing shall remain so throughout the duration of the contract.  The </w:t>
      </w:r>
      <w:r>
        <w:rPr>
          <w:rFonts w:ascii="Times New Roman" w:eastAsia="Times New Roman" w:hAnsi="Times New Roman" w:cs="Times New Roman"/>
        </w:rPr>
        <w:lastRenderedPageBreak/>
        <w:t>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vendor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vendor’s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75" w:name="_Toc154129609"/>
      <w:bookmarkStart w:id="76" w:name="_Toc154129738"/>
      <w:bookmarkStart w:id="77" w:name="_Toc155257473"/>
      <w:r>
        <w:lastRenderedPageBreak/>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t>2.2</w:t>
      </w:r>
      <w:r w:rsidRPr="00D33821">
        <w:tab/>
        <w:t>References</w:t>
      </w:r>
      <w:bookmarkEnd w:id="82"/>
      <w:bookmarkEnd w:id="83"/>
      <w:bookmarkEnd w:id="84"/>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5">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6"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7"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2BA69439"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SECTION 1.0</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Work, </w:t>
            </w:r>
            <w:r w:rsidR="00756173" w:rsidRPr="000215BF">
              <w:rPr>
                <w:rFonts w:ascii="Times New Roman" w:eastAsia="Times New Roman" w:hAnsi="Times New Roman" w:cs="Times New Roman"/>
                <w:color w:val="000000"/>
              </w:rPr>
              <w:t>adherence to specifications</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940CE" w:rsidRPr="000215BF">
              <w:rPr>
                <w:rFonts w:ascii="Times New Roman" w:eastAsia="Times New Roman" w:hAnsi="Times New Roman" w:cs="Times New Roman"/>
                <w:color w:val="000000"/>
              </w:rPr>
              <w:t>.</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48915298" w:rsidR="00C746F0" w:rsidRPr="000215BF" w:rsidRDefault="00756173">
            <w:pPr>
              <w:rPr>
                <w:rFonts w:ascii="Times New Roman" w:eastAsia="Times New Roman" w:hAnsi="Times New Roman" w:cs="Times New Roman"/>
                <w:b/>
              </w:rPr>
            </w:pPr>
            <w:r w:rsidRPr="000215BF">
              <w:rPr>
                <w:rFonts w:ascii="Times New Roman" w:eastAsia="Times New Roman" w:hAnsi="Times New Roman" w:cs="Times New Roman"/>
                <w:b/>
              </w:rPr>
              <w:t xml:space="preserve">Staffing </w:t>
            </w:r>
            <w:r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Pr="000215BF">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8">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9"/>
          <w:footerReference w:type="even" r:id="rId20"/>
          <w:footerReference w:type="default" r:id="rId21"/>
          <w:headerReference w:type="first" r:id="rId22"/>
          <w:pgSz w:w="12240" w:h="15840"/>
          <w:pgMar w:top="1440" w:right="1440" w:bottom="1440" w:left="1440" w:header="720" w:footer="720" w:gutter="0"/>
          <w:cols w:space="720"/>
          <w:titlePg/>
        </w:sectPr>
      </w:pPr>
      <w:r>
        <w:br w:type="page"/>
      </w:r>
    </w:p>
    <w:p w14:paraId="05A60C1A" w14:textId="2CF33841" w:rsidR="00450513" w:rsidRPr="009A2ABA" w:rsidRDefault="00450513" w:rsidP="00450513">
      <w:pPr>
        <w:pStyle w:val="Heading3"/>
        <w:jc w:val="center"/>
        <w:rPr>
          <w:bCs/>
        </w:rPr>
      </w:pPr>
      <w:bookmarkStart w:id="138" w:name="_Toc521658386"/>
      <w:bookmarkStart w:id="139" w:name="_Toc528924828"/>
      <w:r>
        <w:t>APPENDIX A – Services Regional Map</w:t>
      </w:r>
      <w:bookmarkEnd w:id="138"/>
      <w:bookmarkEnd w:id="139"/>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3F07B9D9" w14:textId="77777777" w:rsidR="00450513" w:rsidRDefault="004505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9F155C" w14:textId="41EC0183"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sidRPr="00AD19AE">
        <w:rPr>
          <w:rFonts w:ascii="Times New Roman" w:eastAsia="Arial" w:hAnsi="Times New Roman" w:cs="Times New Roman"/>
          <w:color w:val="000000"/>
          <w:u w:val="single"/>
        </w:rPr>
        <w:t>You may add additional rows as needed</w:t>
      </w:r>
      <w:r w:rsidR="008D2DDE">
        <w:rPr>
          <w:rFonts w:ascii="Times New Roman" w:eastAsia="Arial" w:hAnsi="Times New Roman" w:cs="Times New Roman"/>
          <w:color w:val="000000"/>
        </w:rPr>
        <w:t xml:space="preserve">. </w:t>
      </w:r>
      <w:r w:rsidRPr="00A3732A">
        <w:rPr>
          <w:rFonts w:ascii="Times New Roman" w:eastAsia="Arial" w:hAnsi="Times New Roman" w:cs="Times New Roman"/>
          <w:color w:val="000000"/>
        </w:rPr>
        <w:t>Failure to complete the pricing schedule may result in</w:t>
      </w:r>
      <w:r>
        <w:rPr>
          <w:rFonts w:ascii="Times New Roman" w:eastAsia="Arial" w:hAnsi="Times New Roman" w:cs="Times New Roman"/>
          <w:color w:val="000000"/>
        </w:rPr>
        <w:t xml:space="preserve"> the</w:t>
      </w:r>
      <w:r w:rsidRPr="00A3732A">
        <w:rPr>
          <w:rFonts w:ascii="Times New Roman" w:eastAsia="Arial" w:hAnsi="Times New Roman" w:cs="Times New Roman"/>
          <w:color w:val="000000"/>
        </w:rPr>
        <w:t xml:space="preserve"> disqualification of your proposal.</w:t>
      </w:r>
    </w:p>
    <w:p w14:paraId="6FA72087" w14:textId="77777777" w:rsidR="00A3732A" w:rsidRPr="00A3732A" w:rsidRDefault="00A3732A" w:rsidP="00A3732A">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rPr>
      </w:pPr>
    </w:p>
    <w:p w14:paraId="260337BF" w14:textId="0280DAE8" w:rsid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Price proposals must include all costs, including but not limited to, any one-time or set-up charges, fees, </w:t>
      </w:r>
      <w:r w:rsidRPr="00A3732A">
        <w:rPr>
          <w:rFonts w:ascii="Times New Roman" w:eastAsia="Arial" w:hAnsi="Times New Roman" w:cs="Times New Roman"/>
          <w:color w:val="000000"/>
          <w:u w:val="single"/>
        </w:rPr>
        <w:t>travel</w:t>
      </w:r>
      <w:r w:rsidRPr="00A3732A">
        <w:rPr>
          <w:rFonts w:ascii="Times New Roman" w:eastAsia="Arial" w:hAnsi="Times New Roman" w:cs="Times New Roman"/>
          <w:color w:val="000000"/>
        </w:rPr>
        <w:t xml:space="preserve">, </w:t>
      </w:r>
      <w:r w:rsidR="008D2DDE">
        <w:rPr>
          <w:rFonts w:ascii="Times New Roman" w:eastAsia="Arial" w:hAnsi="Times New Roman" w:cs="Times New Roman"/>
          <w:color w:val="000000"/>
        </w:rPr>
        <w:t xml:space="preserve">maintenance, </w:t>
      </w:r>
      <w:r w:rsidRPr="00A3732A">
        <w:rPr>
          <w:rFonts w:ascii="Times New Roman" w:eastAsia="Arial" w:hAnsi="Times New Roman" w:cs="Times New Roman"/>
          <w:color w:val="000000"/>
        </w:rPr>
        <w:t xml:space="preserve">and potential costs that </w:t>
      </w:r>
      <w:r>
        <w:rPr>
          <w:rFonts w:ascii="Times New Roman" w:eastAsia="Arial" w:hAnsi="Times New Roman" w:cs="Times New Roman"/>
          <w:color w:val="000000"/>
        </w:rPr>
        <w:t>the vendor may charge</w:t>
      </w:r>
      <w:r w:rsidRPr="00A3732A">
        <w:rPr>
          <w:rFonts w:ascii="Times New Roman" w:eastAsia="Arial" w:hAnsi="Times New Roman" w:cs="Times New Roman"/>
          <w:color w:val="000000"/>
        </w:rPr>
        <w:t xml:space="preserve"> (e.g., shipping and handling, per piece pricing, and palletizing).</w:t>
      </w:r>
    </w:p>
    <w:p w14:paraId="5B4F586D" w14:textId="77777777" w:rsidR="0038704F" w:rsidRDefault="0038704F" w:rsidP="0038704F">
      <w:pPr>
        <w:pStyle w:val="ListParagraph"/>
        <w:rPr>
          <w:rFonts w:ascii="Times New Roman" w:eastAsia="Arial" w:hAnsi="Times New Roman" w:cs="Times New Roman"/>
          <w:color w:val="000000"/>
        </w:rPr>
      </w:pPr>
    </w:p>
    <w:p w14:paraId="7BA746AD" w14:textId="6FA3534B" w:rsidR="0038704F" w:rsidRDefault="0038704F"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Additional pages may be added as needed to propose alternative pricing.</w:t>
      </w:r>
    </w:p>
    <w:p w14:paraId="2C9EE465" w14:textId="77777777" w:rsidR="00AD19AE" w:rsidRDefault="00AD19AE" w:rsidP="00AD19AE">
      <w:pPr>
        <w:pStyle w:val="ListParagraph"/>
        <w:rPr>
          <w:rFonts w:ascii="Times New Roman" w:eastAsia="Arial" w:hAnsi="Times New Roman" w:cs="Times New Roman"/>
          <w:color w:val="000000"/>
        </w:rPr>
      </w:pPr>
    </w:p>
    <w:p w14:paraId="591C4564" w14:textId="77777777" w:rsidR="00AD19AE" w:rsidRPr="00A3732A" w:rsidRDefault="00AD19AE" w:rsidP="00AD19AE">
      <w:pPr>
        <w:tabs>
          <w:tab w:val="left" w:pos="360"/>
          <w:tab w:val="left" w:pos="504"/>
        </w:tabs>
        <w:spacing w:before="231" w:after="0" w:line="278" w:lineRule="exact"/>
        <w:ind w:left="504" w:right="432"/>
        <w:textAlignment w:val="baseline"/>
        <w:rPr>
          <w:rFonts w:ascii="Times New Roman" w:eastAsia="Arial" w:hAnsi="Times New Roman" w:cs="Times New Roman"/>
          <w:color w:val="000000"/>
        </w:rPr>
      </w:pPr>
    </w:p>
    <w:p w14:paraId="6B10CF01" w14:textId="5AC39FBB" w:rsidR="00A3732A" w:rsidRDefault="00AD19AE" w:rsidP="00AD19AE">
      <w:pPr>
        <w:pStyle w:val="ListParagraph"/>
        <w:pBdr>
          <w:top w:val="nil"/>
          <w:left w:val="nil"/>
          <w:bottom w:val="nil"/>
          <w:right w:val="nil"/>
          <w:between w:val="nil"/>
        </w:pBdr>
        <w:spacing w:after="0" w:line="240" w:lineRule="auto"/>
        <w:ind w:left="0"/>
        <w:rPr>
          <w:rFonts w:ascii="Times New Roman" w:eastAsia="Times New Roman" w:hAnsi="Times New Roman" w:cs="Times New Roman"/>
          <w:b/>
          <w:bCs/>
        </w:rPr>
      </w:pPr>
      <w:r w:rsidRPr="00AD19AE">
        <w:rPr>
          <w:rFonts w:ascii="Times New Roman" w:eastAsia="Times New Roman" w:hAnsi="Times New Roman" w:cs="Times New Roman"/>
          <w:b/>
          <w:bCs/>
        </w:rPr>
        <w:t>Pricing Table for Beverage Products and Services</w:t>
      </w:r>
    </w:p>
    <w:p w14:paraId="73F15F0B" w14:textId="77777777" w:rsidR="00AD19AE" w:rsidRPr="00AD19AE" w:rsidRDefault="00AD19AE" w:rsidP="00AD19AE">
      <w:pPr>
        <w:pStyle w:val="ListParagraph"/>
        <w:pBdr>
          <w:top w:val="nil"/>
          <w:left w:val="nil"/>
          <w:bottom w:val="nil"/>
          <w:right w:val="nil"/>
          <w:between w:val="nil"/>
        </w:pBdr>
        <w:spacing w:after="0" w:line="240" w:lineRule="auto"/>
        <w:ind w:left="1080"/>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344"/>
        <w:gridCol w:w="1531"/>
        <w:gridCol w:w="1350"/>
        <w:gridCol w:w="1710"/>
        <w:gridCol w:w="1620"/>
        <w:gridCol w:w="1710"/>
      </w:tblGrid>
      <w:tr w:rsidR="003634C3" w14:paraId="0A889898" w14:textId="77777777" w:rsidTr="003634C3">
        <w:trPr>
          <w:trHeight w:val="719"/>
        </w:trPr>
        <w:tc>
          <w:tcPr>
            <w:tcW w:w="1344" w:type="dxa"/>
          </w:tcPr>
          <w:p w14:paraId="235E616F" w14:textId="068E9E3F" w:rsidR="003634C3" w:rsidRPr="00AD19AE" w:rsidRDefault="003634C3" w:rsidP="00B93BA7">
            <w:pPr>
              <w:pStyle w:val="Heading2"/>
              <w:jc w:val="left"/>
              <w:rPr>
                <w:sz w:val="22"/>
                <w:szCs w:val="22"/>
              </w:rPr>
            </w:pPr>
            <w:r w:rsidRPr="00AD19AE">
              <w:rPr>
                <w:sz w:val="22"/>
                <w:szCs w:val="22"/>
              </w:rPr>
              <w:t>Category</w:t>
            </w:r>
          </w:p>
        </w:tc>
        <w:tc>
          <w:tcPr>
            <w:tcW w:w="1531" w:type="dxa"/>
          </w:tcPr>
          <w:p w14:paraId="76CC9738" w14:textId="2F6E88B2" w:rsidR="003634C3" w:rsidRPr="00AD19AE" w:rsidRDefault="003634C3" w:rsidP="00B93BA7">
            <w:pPr>
              <w:pStyle w:val="Heading2"/>
              <w:jc w:val="left"/>
              <w:rPr>
                <w:sz w:val="22"/>
                <w:szCs w:val="22"/>
              </w:rPr>
            </w:pPr>
            <w:r w:rsidRPr="00AD19AE">
              <w:rPr>
                <w:sz w:val="22"/>
                <w:szCs w:val="22"/>
              </w:rPr>
              <w:t>Description</w:t>
            </w:r>
          </w:p>
        </w:tc>
        <w:tc>
          <w:tcPr>
            <w:tcW w:w="1350" w:type="dxa"/>
          </w:tcPr>
          <w:p w14:paraId="21D22C84" w14:textId="2C925475" w:rsidR="003634C3" w:rsidRPr="00AD19AE" w:rsidRDefault="003634C3" w:rsidP="00B93BA7">
            <w:pPr>
              <w:pStyle w:val="Heading2"/>
              <w:jc w:val="left"/>
              <w:rPr>
                <w:sz w:val="22"/>
                <w:szCs w:val="22"/>
              </w:rPr>
            </w:pPr>
            <w:r>
              <w:rPr>
                <w:sz w:val="22"/>
                <w:szCs w:val="22"/>
              </w:rPr>
              <w:t>Unit Size</w:t>
            </w:r>
          </w:p>
        </w:tc>
        <w:tc>
          <w:tcPr>
            <w:tcW w:w="1710" w:type="dxa"/>
          </w:tcPr>
          <w:p w14:paraId="17029075" w14:textId="44D2EF4B" w:rsidR="003634C3" w:rsidRPr="00AD19AE" w:rsidRDefault="003634C3" w:rsidP="00B93BA7">
            <w:pPr>
              <w:pStyle w:val="Heading2"/>
              <w:jc w:val="left"/>
              <w:rPr>
                <w:sz w:val="22"/>
                <w:szCs w:val="22"/>
              </w:rPr>
            </w:pPr>
            <w:r>
              <w:rPr>
                <w:sz w:val="22"/>
                <w:szCs w:val="22"/>
              </w:rPr>
              <w:t>Packaging Type</w:t>
            </w:r>
          </w:p>
        </w:tc>
        <w:tc>
          <w:tcPr>
            <w:tcW w:w="1620" w:type="dxa"/>
          </w:tcPr>
          <w:p w14:paraId="586C9D70" w14:textId="2C434FF3" w:rsidR="003634C3" w:rsidRPr="00AD19AE" w:rsidRDefault="003634C3" w:rsidP="00B93BA7">
            <w:pPr>
              <w:pStyle w:val="Heading2"/>
              <w:jc w:val="left"/>
              <w:rPr>
                <w:sz w:val="22"/>
                <w:szCs w:val="22"/>
              </w:rPr>
            </w:pPr>
            <w:r>
              <w:rPr>
                <w:sz w:val="22"/>
                <w:szCs w:val="22"/>
              </w:rPr>
              <w:t>Unit Price</w:t>
            </w:r>
          </w:p>
        </w:tc>
        <w:tc>
          <w:tcPr>
            <w:tcW w:w="1710" w:type="dxa"/>
          </w:tcPr>
          <w:p w14:paraId="59E0AFB9" w14:textId="52BD7556" w:rsidR="003634C3" w:rsidRPr="00AD19AE" w:rsidRDefault="003634C3" w:rsidP="00B93BA7">
            <w:pPr>
              <w:pStyle w:val="Heading2"/>
              <w:jc w:val="left"/>
              <w:rPr>
                <w:sz w:val="22"/>
                <w:szCs w:val="22"/>
              </w:rPr>
            </w:pPr>
            <w:r>
              <w:rPr>
                <w:sz w:val="22"/>
                <w:szCs w:val="22"/>
              </w:rPr>
              <w:t>Bulk Pricing (</w:t>
            </w:r>
            <w:r w:rsidR="00B82D03">
              <w:rPr>
                <w:sz w:val="22"/>
                <w:szCs w:val="22"/>
              </w:rPr>
              <w:t>unit/</w:t>
            </w:r>
            <w:r>
              <w:rPr>
                <w:sz w:val="22"/>
                <w:szCs w:val="22"/>
              </w:rPr>
              <w:t>case)</w:t>
            </w:r>
          </w:p>
        </w:tc>
      </w:tr>
      <w:tr w:rsidR="00B82D03" w14:paraId="49B862C3" w14:textId="77777777" w:rsidTr="003634C3">
        <w:trPr>
          <w:trHeight w:val="719"/>
        </w:trPr>
        <w:tc>
          <w:tcPr>
            <w:tcW w:w="1344" w:type="dxa"/>
          </w:tcPr>
          <w:p w14:paraId="1BD7CB35" w14:textId="77777777" w:rsidR="00B82D03" w:rsidRPr="00AD19AE" w:rsidRDefault="00B82D03" w:rsidP="00B93BA7">
            <w:pPr>
              <w:pStyle w:val="Heading2"/>
              <w:jc w:val="left"/>
              <w:rPr>
                <w:sz w:val="22"/>
                <w:szCs w:val="22"/>
              </w:rPr>
            </w:pPr>
          </w:p>
        </w:tc>
        <w:tc>
          <w:tcPr>
            <w:tcW w:w="1531" w:type="dxa"/>
          </w:tcPr>
          <w:p w14:paraId="409B68D3" w14:textId="77777777" w:rsidR="00B82D03" w:rsidRPr="00AD19AE" w:rsidRDefault="00B82D03" w:rsidP="00B93BA7">
            <w:pPr>
              <w:pStyle w:val="Heading2"/>
              <w:jc w:val="left"/>
              <w:rPr>
                <w:sz w:val="22"/>
                <w:szCs w:val="22"/>
              </w:rPr>
            </w:pPr>
          </w:p>
        </w:tc>
        <w:tc>
          <w:tcPr>
            <w:tcW w:w="1350" w:type="dxa"/>
          </w:tcPr>
          <w:p w14:paraId="251145D0" w14:textId="77777777" w:rsidR="00B82D03" w:rsidRDefault="00B82D03" w:rsidP="00B93BA7">
            <w:pPr>
              <w:pStyle w:val="Heading2"/>
              <w:jc w:val="left"/>
              <w:rPr>
                <w:sz w:val="22"/>
                <w:szCs w:val="22"/>
              </w:rPr>
            </w:pPr>
          </w:p>
        </w:tc>
        <w:tc>
          <w:tcPr>
            <w:tcW w:w="1710" w:type="dxa"/>
          </w:tcPr>
          <w:p w14:paraId="22B00A44" w14:textId="77777777" w:rsidR="00B82D03" w:rsidRDefault="00B82D03" w:rsidP="00B93BA7">
            <w:pPr>
              <w:pStyle w:val="Heading2"/>
              <w:jc w:val="left"/>
              <w:rPr>
                <w:sz w:val="22"/>
                <w:szCs w:val="22"/>
              </w:rPr>
            </w:pPr>
          </w:p>
        </w:tc>
        <w:tc>
          <w:tcPr>
            <w:tcW w:w="1620" w:type="dxa"/>
          </w:tcPr>
          <w:p w14:paraId="5686940A" w14:textId="77777777" w:rsidR="00B82D03" w:rsidRDefault="00B82D03" w:rsidP="00B93BA7">
            <w:pPr>
              <w:pStyle w:val="Heading2"/>
              <w:jc w:val="left"/>
              <w:rPr>
                <w:sz w:val="22"/>
                <w:szCs w:val="22"/>
              </w:rPr>
            </w:pPr>
          </w:p>
        </w:tc>
        <w:tc>
          <w:tcPr>
            <w:tcW w:w="1710" w:type="dxa"/>
          </w:tcPr>
          <w:p w14:paraId="03EA2C76" w14:textId="77777777" w:rsidR="00B82D03" w:rsidRDefault="00B82D03" w:rsidP="00B93BA7">
            <w:pPr>
              <w:pStyle w:val="Heading2"/>
              <w:jc w:val="left"/>
              <w:rPr>
                <w:sz w:val="22"/>
                <w:szCs w:val="22"/>
              </w:rPr>
            </w:pPr>
          </w:p>
        </w:tc>
      </w:tr>
      <w:tr w:rsidR="003634C3" w14:paraId="652A8E8B" w14:textId="77777777" w:rsidTr="003634C3">
        <w:trPr>
          <w:trHeight w:val="485"/>
        </w:trPr>
        <w:tc>
          <w:tcPr>
            <w:tcW w:w="1344" w:type="dxa"/>
          </w:tcPr>
          <w:p w14:paraId="3552C594" w14:textId="476746CD" w:rsidR="003634C3" w:rsidRPr="00AD19AE" w:rsidRDefault="003634C3" w:rsidP="00B93BA7">
            <w:pPr>
              <w:pStyle w:val="Heading2"/>
              <w:jc w:val="left"/>
              <w:rPr>
                <w:sz w:val="22"/>
                <w:szCs w:val="22"/>
              </w:rPr>
            </w:pPr>
            <w:r>
              <w:rPr>
                <w:sz w:val="22"/>
                <w:szCs w:val="22"/>
              </w:rPr>
              <w:t>Water</w:t>
            </w:r>
          </w:p>
        </w:tc>
        <w:tc>
          <w:tcPr>
            <w:tcW w:w="1531" w:type="dxa"/>
          </w:tcPr>
          <w:p w14:paraId="43729EBD" w14:textId="1D17FD7C" w:rsidR="003634C3" w:rsidRPr="00AD19AE" w:rsidRDefault="003634C3" w:rsidP="00B93BA7">
            <w:pPr>
              <w:pStyle w:val="Heading2"/>
              <w:jc w:val="left"/>
              <w:rPr>
                <w:sz w:val="22"/>
                <w:szCs w:val="22"/>
              </w:rPr>
            </w:pPr>
            <w:r>
              <w:rPr>
                <w:sz w:val="22"/>
                <w:szCs w:val="22"/>
              </w:rPr>
              <w:t>Bottled Water</w:t>
            </w:r>
          </w:p>
        </w:tc>
        <w:tc>
          <w:tcPr>
            <w:tcW w:w="1350" w:type="dxa"/>
          </w:tcPr>
          <w:p w14:paraId="1F409D67" w14:textId="62C623B5" w:rsidR="003634C3" w:rsidRPr="00AD19AE" w:rsidRDefault="003634C3" w:rsidP="00B93BA7">
            <w:pPr>
              <w:pStyle w:val="Heading2"/>
              <w:jc w:val="left"/>
              <w:rPr>
                <w:sz w:val="22"/>
                <w:szCs w:val="22"/>
              </w:rPr>
            </w:pPr>
            <w:r>
              <w:rPr>
                <w:sz w:val="22"/>
                <w:szCs w:val="22"/>
              </w:rPr>
              <w:t>16.9oz</w:t>
            </w:r>
          </w:p>
        </w:tc>
        <w:tc>
          <w:tcPr>
            <w:tcW w:w="1710" w:type="dxa"/>
          </w:tcPr>
          <w:p w14:paraId="0CE34765" w14:textId="41B1C003" w:rsidR="003634C3" w:rsidRPr="00AD19AE" w:rsidRDefault="003634C3" w:rsidP="00B93BA7">
            <w:pPr>
              <w:pStyle w:val="Heading2"/>
              <w:jc w:val="left"/>
              <w:rPr>
                <w:sz w:val="22"/>
                <w:szCs w:val="22"/>
              </w:rPr>
            </w:pPr>
            <w:r>
              <w:rPr>
                <w:sz w:val="22"/>
                <w:szCs w:val="22"/>
              </w:rPr>
              <w:t>24 bottles</w:t>
            </w:r>
          </w:p>
        </w:tc>
        <w:tc>
          <w:tcPr>
            <w:tcW w:w="1620" w:type="dxa"/>
          </w:tcPr>
          <w:p w14:paraId="0636B268" w14:textId="77777777" w:rsidR="003634C3" w:rsidRPr="00AD19AE" w:rsidRDefault="003634C3" w:rsidP="00B93BA7">
            <w:pPr>
              <w:pStyle w:val="Heading2"/>
              <w:jc w:val="left"/>
              <w:rPr>
                <w:sz w:val="22"/>
                <w:szCs w:val="22"/>
              </w:rPr>
            </w:pPr>
          </w:p>
        </w:tc>
        <w:tc>
          <w:tcPr>
            <w:tcW w:w="1710" w:type="dxa"/>
          </w:tcPr>
          <w:p w14:paraId="7B66E28B" w14:textId="77777777" w:rsidR="003634C3" w:rsidRPr="00AD19AE" w:rsidRDefault="003634C3" w:rsidP="00B93BA7">
            <w:pPr>
              <w:pStyle w:val="Heading2"/>
              <w:jc w:val="left"/>
              <w:rPr>
                <w:sz w:val="22"/>
                <w:szCs w:val="22"/>
              </w:rPr>
            </w:pPr>
          </w:p>
        </w:tc>
      </w:tr>
      <w:tr w:rsidR="003634C3" w14:paraId="334F4E83" w14:textId="77777777" w:rsidTr="003634C3">
        <w:trPr>
          <w:trHeight w:val="449"/>
        </w:trPr>
        <w:tc>
          <w:tcPr>
            <w:tcW w:w="1344" w:type="dxa"/>
          </w:tcPr>
          <w:p w14:paraId="2CAB4456" w14:textId="38895F88" w:rsidR="003634C3" w:rsidRPr="00AD19AE" w:rsidRDefault="003634C3" w:rsidP="00B93BA7">
            <w:pPr>
              <w:pStyle w:val="Heading2"/>
              <w:jc w:val="left"/>
              <w:rPr>
                <w:sz w:val="22"/>
                <w:szCs w:val="22"/>
              </w:rPr>
            </w:pPr>
            <w:r>
              <w:rPr>
                <w:sz w:val="22"/>
                <w:szCs w:val="22"/>
              </w:rPr>
              <w:t>Water</w:t>
            </w:r>
          </w:p>
        </w:tc>
        <w:tc>
          <w:tcPr>
            <w:tcW w:w="1531" w:type="dxa"/>
          </w:tcPr>
          <w:p w14:paraId="416968EA" w14:textId="7D51D1F0" w:rsidR="003634C3" w:rsidRPr="00AD19AE" w:rsidRDefault="003634C3" w:rsidP="00B93BA7">
            <w:pPr>
              <w:pStyle w:val="Heading2"/>
              <w:jc w:val="left"/>
              <w:rPr>
                <w:sz w:val="22"/>
                <w:szCs w:val="22"/>
              </w:rPr>
            </w:pPr>
            <w:r>
              <w:rPr>
                <w:sz w:val="22"/>
                <w:szCs w:val="22"/>
              </w:rPr>
              <w:t>Bottled Water</w:t>
            </w:r>
          </w:p>
        </w:tc>
        <w:tc>
          <w:tcPr>
            <w:tcW w:w="1350" w:type="dxa"/>
          </w:tcPr>
          <w:p w14:paraId="03EAB267" w14:textId="77AB81B3" w:rsidR="003634C3" w:rsidRPr="00AD19AE" w:rsidRDefault="003634C3" w:rsidP="00B93BA7">
            <w:pPr>
              <w:pStyle w:val="Heading2"/>
              <w:jc w:val="left"/>
              <w:rPr>
                <w:sz w:val="22"/>
                <w:szCs w:val="22"/>
              </w:rPr>
            </w:pPr>
            <w:r>
              <w:rPr>
                <w:sz w:val="22"/>
                <w:szCs w:val="22"/>
              </w:rPr>
              <w:t>12oz</w:t>
            </w:r>
          </w:p>
        </w:tc>
        <w:tc>
          <w:tcPr>
            <w:tcW w:w="1710" w:type="dxa"/>
          </w:tcPr>
          <w:p w14:paraId="5DCAC147" w14:textId="3E448BD6" w:rsidR="003634C3" w:rsidRPr="00AD19AE" w:rsidRDefault="003634C3" w:rsidP="00B93BA7">
            <w:pPr>
              <w:pStyle w:val="Heading2"/>
              <w:jc w:val="left"/>
              <w:rPr>
                <w:sz w:val="22"/>
                <w:szCs w:val="22"/>
              </w:rPr>
            </w:pPr>
            <w:r>
              <w:rPr>
                <w:sz w:val="22"/>
                <w:szCs w:val="22"/>
              </w:rPr>
              <w:t>32 bottles/case</w:t>
            </w:r>
          </w:p>
        </w:tc>
        <w:tc>
          <w:tcPr>
            <w:tcW w:w="1620" w:type="dxa"/>
          </w:tcPr>
          <w:p w14:paraId="4665B2E9" w14:textId="77777777" w:rsidR="003634C3" w:rsidRPr="00AD19AE" w:rsidRDefault="003634C3" w:rsidP="00B93BA7">
            <w:pPr>
              <w:pStyle w:val="Heading2"/>
              <w:jc w:val="left"/>
              <w:rPr>
                <w:sz w:val="22"/>
                <w:szCs w:val="22"/>
              </w:rPr>
            </w:pPr>
          </w:p>
        </w:tc>
        <w:tc>
          <w:tcPr>
            <w:tcW w:w="1710" w:type="dxa"/>
          </w:tcPr>
          <w:p w14:paraId="468D609F" w14:textId="77777777" w:rsidR="003634C3" w:rsidRPr="00AD19AE" w:rsidRDefault="003634C3" w:rsidP="00B93BA7">
            <w:pPr>
              <w:pStyle w:val="Heading2"/>
              <w:jc w:val="left"/>
              <w:rPr>
                <w:sz w:val="22"/>
                <w:szCs w:val="22"/>
              </w:rPr>
            </w:pPr>
          </w:p>
        </w:tc>
      </w:tr>
      <w:tr w:rsidR="003634C3" w14:paraId="4DADDE52" w14:textId="77777777" w:rsidTr="003634C3">
        <w:trPr>
          <w:trHeight w:val="521"/>
        </w:trPr>
        <w:tc>
          <w:tcPr>
            <w:tcW w:w="1344" w:type="dxa"/>
          </w:tcPr>
          <w:p w14:paraId="0483C2AC" w14:textId="6DC03EAC" w:rsidR="003634C3" w:rsidRPr="00AD19AE" w:rsidRDefault="003634C3" w:rsidP="00B93BA7">
            <w:pPr>
              <w:pStyle w:val="Heading2"/>
              <w:jc w:val="left"/>
              <w:rPr>
                <w:sz w:val="22"/>
                <w:szCs w:val="22"/>
              </w:rPr>
            </w:pPr>
            <w:r>
              <w:rPr>
                <w:sz w:val="22"/>
                <w:szCs w:val="22"/>
              </w:rPr>
              <w:t>Juice</w:t>
            </w:r>
          </w:p>
        </w:tc>
        <w:tc>
          <w:tcPr>
            <w:tcW w:w="1531" w:type="dxa"/>
          </w:tcPr>
          <w:p w14:paraId="4DCFF41C" w14:textId="1C381089" w:rsidR="003634C3" w:rsidRPr="00AD19AE" w:rsidRDefault="003634C3" w:rsidP="00B93BA7">
            <w:pPr>
              <w:pStyle w:val="Heading2"/>
              <w:jc w:val="left"/>
              <w:rPr>
                <w:sz w:val="22"/>
                <w:szCs w:val="22"/>
              </w:rPr>
            </w:pPr>
            <w:r>
              <w:rPr>
                <w:sz w:val="22"/>
                <w:szCs w:val="22"/>
              </w:rPr>
              <w:t>100% Orange Juice</w:t>
            </w:r>
          </w:p>
        </w:tc>
        <w:tc>
          <w:tcPr>
            <w:tcW w:w="1350" w:type="dxa"/>
          </w:tcPr>
          <w:p w14:paraId="3DD4B5C8" w14:textId="505355FF" w:rsidR="003634C3" w:rsidRPr="00AD19AE" w:rsidRDefault="003634C3" w:rsidP="00B93BA7">
            <w:pPr>
              <w:pStyle w:val="Heading2"/>
              <w:jc w:val="left"/>
              <w:rPr>
                <w:sz w:val="22"/>
                <w:szCs w:val="22"/>
              </w:rPr>
            </w:pPr>
            <w:r>
              <w:rPr>
                <w:sz w:val="22"/>
                <w:szCs w:val="22"/>
              </w:rPr>
              <w:t>10oz</w:t>
            </w:r>
          </w:p>
        </w:tc>
        <w:tc>
          <w:tcPr>
            <w:tcW w:w="1710" w:type="dxa"/>
          </w:tcPr>
          <w:p w14:paraId="244E8ACE" w14:textId="37A6D95F" w:rsidR="003634C3" w:rsidRPr="00AD19AE" w:rsidRDefault="003634C3" w:rsidP="00B93BA7">
            <w:pPr>
              <w:pStyle w:val="Heading2"/>
              <w:jc w:val="left"/>
              <w:rPr>
                <w:sz w:val="22"/>
                <w:szCs w:val="22"/>
              </w:rPr>
            </w:pPr>
            <w:r>
              <w:rPr>
                <w:sz w:val="22"/>
                <w:szCs w:val="22"/>
              </w:rPr>
              <w:t>12 bottles/case</w:t>
            </w:r>
          </w:p>
        </w:tc>
        <w:tc>
          <w:tcPr>
            <w:tcW w:w="1620" w:type="dxa"/>
          </w:tcPr>
          <w:p w14:paraId="742FCFCF" w14:textId="77777777" w:rsidR="003634C3" w:rsidRPr="00AD19AE" w:rsidRDefault="003634C3" w:rsidP="00B93BA7">
            <w:pPr>
              <w:pStyle w:val="Heading2"/>
              <w:jc w:val="left"/>
              <w:rPr>
                <w:sz w:val="22"/>
                <w:szCs w:val="22"/>
              </w:rPr>
            </w:pPr>
          </w:p>
        </w:tc>
        <w:tc>
          <w:tcPr>
            <w:tcW w:w="1710" w:type="dxa"/>
          </w:tcPr>
          <w:p w14:paraId="69442345" w14:textId="77777777" w:rsidR="003634C3" w:rsidRPr="00AD19AE" w:rsidRDefault="003634C3" w:rsidP="00B93BA7">
            <w:pPr>
              <w:pStyle w:val="Heading2"/>
              <w:jc w:val="left"/>
              <w:rPr>
                <w:sz w:val="22"/>
                <w:szCs w:val="22"/>
              </w:rPr>
            </w:pPr>
          </w:p>
        </w:tc>
      </w:tr>
      <w:tr w:rsidR="003634C3" w14:paraId="274C93B0" w14:textId="77777777" w:rsidTr="003634C3">
        <w:trPr>
          <w:trHeight w:val="530"/>
        </w:trPr>
        <w:tc>
          <w:tcPr>
            <w:tcW w:w="1344" w:type="dxa"/>
          </w:tcPr>
          <w:p w14:paraId="2236DE03" w14:textId="3CAF8168" w:rsidR="003634C3" w:rsidRPr="00AD19AE" w:rsidRDefault="003634C3" w:rsidP="00B93BA7">
            <w:pPr>
              <w:pStyle w:val="Heading2"/>
              <w:jc w:val="left"/>
              <w:rPr>
                <w:sz w:val="22"/>
                <w:szCs w:val="22"/>
              </w:rPr>
            </w:pPr>
            <w:r>
              <w:rPr>
                <w:sz w:val="22"/>
                <w:szCs w:val="22"/>
              </w:rPr>
              <w:t>Juice</w:t>
            </w:r>
          </w:p>
        </w:tc>
        <w:tc>
          <w:tcPr>
            <w:tcW w:w="1531" w:type="dxa"/>
          </w:tcPr>
          <w:p w14:paraId="2DEFD3FC" w14:textId="404D77B2" w:rsidR="003634C3" w:rsidRPr="00AD19AE" w:rsidRDefault="003634C3" w:rsidP="00B93BA7">
            <w:pPr>
              <w:pStyle w:val="Heading2"/>
              <w:jc w:val="left"/>
              <w:rPr>
                <w:sz w:val="22"/>
                <w:szCs w:val="22"/>
              </w:rPr>
            </w:pPr>
            <w:r>
              <w:rPr>
                <w:sz w:val="22"/>
                <w:szCs w:val="22"/>
              </w:rPr>
              <w:t>Apple Juice Blend</w:t>
            </w:r>
          </w:p>
        </w:tc>
        <w:tc>
          <w:tcPr>
            <w:tcW w:w="1350" w:type="dxa"/>
          </w:tcPr>
          <w:p w14:paraId="64A43B8B" w14:textId="7994C84E" w:rsidR="003634C3" w:rsidRPr="00AD19AE" w:rsidRDefault="003634C3" w:rsidP="00B93BA7">
            <w:pPr>
              <w:pStyle w:val="Heading2"/>
              <w:jc w:val="left"/>
              <w:rPr>
                <w:sz w:val="22"/>
                <w:szCs w:val="22"/>
              </w:rPr>
            </w:pPr>
            <w:r>
              <w:rPr>
                <w:sz w:val="22"/>
                <w:szCs w:val="22"/>
              </w:rPr>
              <w:t>8oz</w:t>
            </w:r>
          </w:p>
        </w:tc>
        <w:tc>
          <w:tcPr>
            <w:tcW w:w="1710" w:type="dxa"/>
          </w:tcPr>
          <w:p w14:paraId="0B8D2AE7" w14:textId="7373C821" w:rsidR="003634C3" w:rsidRPr="00AD19AE" w:rsidRDefault="003634C3" w:rsidP="00B93BA7">
            <w:pPr>
              <w:pStyle w:val="Heading2"/>
              <w:jc w:val="left"/>
              <w:rPr>
                <w:sz w:val="22"/>
                <w:szCs w:val="22"/>
              </w:rPr>
            </w:pPr>
            <w:r>
              <w:rPr>
                <w:sz w:val="22"/>
                <w:szCs w:val="22"/>
              </w:rPr>
              <w:t>48 cartons/case</w:t>
            </w:r>
          </w:p>
        </w:tc>
        <w:tc>
          <w:tcPr>
            <w:tcW w:w="1620" w:type="dxa"/>
          </w:tcPr>
          <w:p w14:paraId="41B38682" w14:textId="77777777" w:rsidR="003634C3" w:rsidRPr="00AD19AE" w:rsidRDefault="003634C3" w:rsidP="00B93BA7">
            <w:pPr>
              <w:pStyle w:val="Heading2"/>
              <w:jc w:val="left"/>
              <w:rPr>
                <w:sz w:val="22"/>
                <w:szCs w:val="22"/>
              </w:rPr>
            </w:pPr>
          </w:p>
        </w:tc>
        <w:tc>
          <w:tcPr>
            <w:tcW w:w="1710" w:type="dxa"/>
          </w:tcPr>
          <w:p w14:paraId="1F3BF19C" w14:textId="77777777" w:rsidR="003634C3" w:rsidRPr="00AD19AE" w:rsidRDefault="003634C3" w:rsidP="00B93BA7">
            <w:pPr>
              <w:pStyle w:val="Heading2"/>
              <w:jc w:val="left"/>
              <w:rPr>
                <w:sz w:val="22"/>
                <w:szCs w:val="22"/>
              </w:rPr>
            </w:pPr>
          </w:p>
        </w:tc>
      </w:tr>
      <w:tr w:rsidR="003634C3" w14:paraId="26AE6F06" w14:textId="77777777" w:rsidTr="003634C3">
        <w:tc>
          <w:tcPr>
            <w:tcW w:w="1344" w:type="dxa"/>
          </w:tcPr>
          <w:p w14:paraId="3FCAA1AD" w14:textId="7742D40C" w:rsidR="003634C3" w:rsidRPr="00AD19AE" w:rsidRDefault="003634C3" w:rsidP="00B93BA7">
            <w:pPr>
              <w:pStyle w:val="Heading2"/>
              <w:jc w:val="left"/>
              <w:rPr>
                <w:sz w:val="22"/>
                <w:szCs w:val="22"/>
              </w:rPr>
            </w:pPr>
            <w:r>
              <w:rPr>
                <w:sz w:val="22"/>
                <w:szCs w:val="22"/>
              </w:rPr>
              <w:t>Sports Drink</w:t>
            </w:r>
          </w:p>
        </w:tc>
        <w:tc>
          <w:tcPr>
            <w:tcW w:w="1531" w:type="dxa"/>
          </w:tcPr>
          <w:p w14:paraId="5BA94269" w14:textId="0854CE90" w:rsidR="003634C3" w:rsidRPr="00AD19AE" w:rsidRDefault="003634C3" w:rsidP="00B93BA7">
            <w:pPr>
              <w:pStyle w:val="Heading2"/>
              <w:jc w:val="left"/>
              <w:rPr>
                <w:sz w:val="22"/>
                <w:szCs w:val="22"/>
              </w:rPr>
            </w:pPr>
            <w:r>
              <w:rPr>
                <w:sz w:val="22"/>
                <w:szCs w:val="22"/>
              </w:rPr>
              <w:t>Electrolyte Drink</w:t>
            </w:r>
          </w:p>
        </w:tc>
        <w:tc>
          <w:tcPr>
            <w:tcW w:w="1350" w:type="dxa"/>
          </w:tcPr>
          <w:p w14:paraId="0765AAD0" w14:textId="202BB50E" w:rsidR="003634C3" w:rsidRPr="00AD19AE" w:rsidRDefault="003634C3" w:rsidP="00B93BA7">
            <w:pPr>
              <w:pStyle w:val="Heading2"/>
              <w:jc w:val="left"/>
              <w:rPr>
                <w:sz w:val="22"/>
                <w:szCs w:val="22"/>
              </w:rPr>
            </w:pPr>
            <w:r>
              <w:rPr>
                <w:sz w:val="22"/>
                <w:szCs w:val="22"/>
              </w:rPr>
              <w:t>20oz</w:t>
            </w:r>
          </w:p>
        </w:tc>
        <w:tc>
          <w:tcPr>
            <w:tcW w:w="1710" w:type="dxa"/>
          </w:tcPr>
          <w:p w14:paraId="625699EB" w14:textId="1FDBF942" w:rsidR="003634C3" w:rsidRPr="00AD19AE" w:rsidRDefault="003634C3" w:rsidP="00B93BA7">
            <w:pPr>
              <w:pStyle w:val="Heading2"/>
              <w:jc w:val="left"/>
              <w:rPr>
                <w:sz w:val="22"/>
                <w:szCs w:val="22"/>
              </w:rPr>
            </w:pPr>
            <w:r>
              <w:rPr>
                <w:sz w:val="22"/>
                <w:szCs w:val="22"/>
              </w:rPr>
              <w:t>12 bottles/case</w:t>
            </w:r>
          </w:p>
        </w:tc>
        <w:tc>
          <w:tcPr>
            <w:tcW w:w="1620" w:type="dxa"/>
          </w:tcPr>
          <w:p w14:paraId="2F5BBA98" w14:textId="77777777" w:rsidR="003634C3" w:rsidRPr="00AD19AE" w:rsidRDefault="003634C3" w:rsidP="00B93BA7">
            <w:pPr>
              <w:pStyle w:val="Heading2"/>
              <w:jc w:val="left"/>
              <w:rPr>
                <w:sz w:val="22"/>
                <w:szCs w:val="22"/>
              </w:rPr>
            </w:pPr>
          </w:p>
        </w:tc>
        <w:tc>
          <w:tcPr>
            <w:tcW w:w="1710" w:type="dxa"/>
          </w:tcPr>
          <w:p w14:paraId="6D12141C" w14:textId="77777777" w:rsidR="003634C3" w:rsidRPr="00AD19AE" w:rsidRDefault="003634C3" w:rsidP="00B93BA7">
            <w:pPr>
              <w:pStyle w:val="Heading2"/>
              <w:jc w:val="left"/>
              <w:rPr>
                <w:sz w:val="22"/>
                <w:szCs w:val="22"/>
              </w:rPr>
            </w:pPr>
          </w:p>
        </w:tc>
      </w:tr>
      <w:tr w:rsidR="003634C3" w14:paraId="426F6F71" w14:textId="77777777" w:rsidTr="003634C3">
        <w:tc>
          <w:tcPr>
            <w:tcW w:w="1344" w:type="dxa"/>
          </w:tcPr>
          <w:p w14:paraId="0CE5FD71" w14:textId="52868347" w:rsidR="003634C3" w:rsidRPr="00AD19AE" w:rsidRDefault="003634C3" w:rsidP="00B93BA7">
            <w:pPr>
              <w:pStyle w:val="Heading2"/>
              <w:jc w:val="left"/>
              <w:rPr>
                <w:sz w:val="22"/>
                <w:szCs w:val="22"/>
              </w:rPr>
            </w:pPr>
            <w:r>
              <w:rPr>
                <w:sz w:val="22"/>
                <w:szCs w:val="22"/>
              </w:rPr>
              <w:t>Carbonated Drinks</w:t>
            </w:r>
          </w:p>
        </w:tc>
        <w:tc>
          <w:tcPr>
            <w:tcW w:w="1531" w:type="dxa"/>
          </w:tcPr>
          <w:p w14:paraId="6E389DBB" w14:textId="1C477FD3" w:rsidR="003634C3" w:rsidRPr="00AD19AE" w:rsidRDefault="003634C3" w:rsidP="00B93BA7">
            <w:pPr>
              <w:pStyle w:val="Heading2"/>
              <w:jc w:val="left"/>
              <w:rPr>
                <w:sz w:val="22"/>
                <w:szCs w:val="22"/>
              </w:rPr>
            </w:pPr>
            <w:r>
              <w:rPr>
                <w:sz w:val="22"/>
                <w:szCs w:val="22"/>
              </w:rPr>
              <w:t>Cola / Diet</w:t>
            </w:r>
          </w:p>
        </w:tc>
        <w:tc>
          <w:tcPr>
            <w:tcW w:w="1350" w:type="dxa"/>
          </w:tcPr>
          <w:p w14:paraId="0D080C4B" w14:textId="15B5F803" w:rsidR="003634C3" w:rsidRPr="00AD19AE" w:rsidRDefault="003634C3" w:rsidP="00B93BA7">
            <w:pPr>
              <w:pStyle w:val="Heading2"/>
              <w:jc w:val="left"/>
              <w:rPr>
                <w:sz w:val="22"/>
                <w:szCs w:val="22"/>
              </w:rPr>
            </w:pPr>
            <w:r>
              <w:rPr>
                <w:sz w:val="22"/>
                <w:szCs w:val="22"/>
              </w:rPr>
              <w:t>12oz cans</w:t>
            </w:r>
          </w:p>
        </w:tc>
        <w:tc>
          <w:tcPr>
            <w:tcW w:w="1710" w:type="dxa"/>
          </w:tcPr>
          <w:p w14:paraId="08CC4861" w14:textId="712473B6" w:rsidR="003634C3" w:rsidRPr="00AD19AE" w:rsidRDefault="003634C3" w:rsidP="00B93BA7">
            <w:pPr>
              <w:pStyle w:val="Heading2"/>
              <w:jc w:val="left"/>
              <w:rPr>
                <w:sz w:val="22"/>
                <w:szCs w:val="22"/>
              </w:rPr>
            </w:pPr>
            <w:r>
              <w:rPr>
                <w:sz w:val="22"/>
                <w:szCs w:val="22"/>
              </w:rPr>
              <w:t>24 cans/case</w:t>
            </w:r>
          </w:p>
        </w:tc>
        <w:tc>
          <w:tcPr>
            <w:tcW w:w="1620" w:type="dxa"/>
          </w:tcPr>
          <w:p w14:paraId="20016E62" w14:textId="77777777" w:rsidR="003634C3" w:rsidRPr="00AD19AE" w:rsidRDefault="003634C3" w:rsidP="00B93BA7">
            <w:pPr>
              <w:pStyle w:val="Heading2"/>
              <w:jc w:val="left"/>
              <w:rPr>
                <w:sz w:val="22"/>
                <w:szCs w:val="22"/>
              </w:rPr>
            </w:pPr>
          </w:p>
        </w:tc>
        <w:tc>
          <w:tcPr>
            <w:tcW w:w="1710" w:type="dxa"/>
          </w:tcPr>
          <w:p w14:paraId="71F46177" w14:textId="77777777" w:rsidR="003634C3" w:rsidRPr="00AD19AE" w:rsidRDefault="003634C3" w:rsidP="00B93BA7">
            <w:pPr>
              <w:pStyle w:val="Heading2"/>
              <w:jc w:val="left"/>
              <w:rPr>
                <w:sz w:val="22"/>
                <w:szCs w:val="22"/>
              </w:rPr>
            </w:pPr>
          </w:p>
        </w:tc>
      </w:tr>
      <w:tr w:rsidR="003634C3" w14:paraId="12BD0FAE" w14:textId="77777777" w:rsidTr="003634C3">
        <w:tc>
          <w:tcPr>
            <w:tcW w:w="1344" w:type="dxa"/>
          </w:tcPr>
          <w:p w14:paraId="1C4A2FE1" w14:textId="6BFD1E51" w:rsidR="003634C3" w:rsidRDefault="003634C3" w:rsidP="00B93BA7">
            <w:pPr>
              <w:pStyle w:val="Heading2"/>
              <w:jc w:val="left"/>
              <w:rPr>
                <w:sz w:val="22"/>
                <w:szCs w:val="22"/>
              </w:rPr>
            </w:pPr>
            <w:r>
              <w:rPr>
                <w:sz w:val="22"/>
                <w:szCs w:val="22"/>
              </w:rPr>
              <w:t>Carbonated Drinks</w:t>
            </w:r>
          </w:p>
        </w:tc>
        <w:tc>
          <w:tcPr>
            <w:tcW w:w="1531" w:type="dxa"/>
          </w:tcPr>
          <w:p w14:paraId="651B9A29" w14:textId="4EA64C5D" w:rsidR="003634C3" w:rsidRDefault="003634C3" w:rsidP="00B93BA7">
            <w:pPr>
              <w:pStyle w:val="Heading2"/>
              <w:jc w:val="left"/>
              <w:rPr>
                <w:sz w:val="22"/>
                <w:szCs w:val="22"/>
              </w:rPr>
            </w:pPr>
            <w:r>
              <w:rPr>
                <w:sz w:val="22"/>
                <w:szCs w:val="22"/>
              </w:rPr>
              <w:t>Cola / Diet</w:t>
            </w:r>
          </w:p>
        </w:tc>
        <w:tc>
          <w:tcPr>
            <w:tcW w:w="1350" w:type="dxa"/>
          </w:tcPr>
          <w:p w14:paraId="6EF60569" w14:textId="2887B261" w:rsidR="003634C3" w:rsidRDefault="003634C3" w:rsidP="00B93BA7">
            <w:pPr>
              <w:pStyle w:val="Heading2"/>
              <w:jc w:val="left"/>
              <w:rPr>
                <w:sz w:val="22"/>
                <w:szCs w:val="22"/>
              </w:rPr>
            </w:pPr>
            <w:r>
              <w:rPr>
                <w:sz w:val="22"/>
                <w:szCs w:val="22"/>
              </w:rPr>
              <w:t>20oz bottles</w:t>
            </w:r>
          </w:p>
        </w:tc>
        <w:tc>
          <w:tcPr>
            <w:tcW w:w="1710" w:type="dxa"/>
          </w:tcPr>
          <w:p w14:paraId="6F3A8A46" w14:textId="0371A71A" w:rsidR="003634C3" w:rsidRPr="00AD19AE" w:rsidRDefault="003634C3" w:rsidP="00B93BA7">
            <w:pPr>
              <w:pStyle w:val="Heading2"/>
              <w:jc w:val="left"/>
              <w:rPr>
                <w:sz w:val="22"/>
                <w:szCs w:val="22"/>
              </w:rPr>
            </w:pPr>
            <w:r>
              <w:rPr>
                <w:sz w:val="22"/>
                <w:szCs w:val="22"/>
              </w:rPr>
              <w:t>12 bottles/case</w:t>
            </w:r>
          </w:p>
        </w:tc>
        <w:tc>
          <w:tcPr>
            <w:tcW w:w="1620" w:type="dxa"/>
          </w:tcPr>
          <w:p w14:paraId="33D78675" w14:textId="77777777" w:rsidR="003634C3" w:rsidRPr="00AD19AE" w:rsidRDefault="003634C3" w:rsidP="00B93BA7">
            <w:pPr>
              <w:pStyle w:val="Heading2"/>
              <w:jc w:val="left"/>
              <w:rPr>
                <w:sz w:val="22"/>
                <w:szCs w:val="22"/>
              </w:rPr>
            </w:pPr>
          </w:p>
        </w:tc>
        <w:tc>
          <w:tcPr>
            <w:tcW w:w="1710" w:type="dxa"/>
          </w:tcPr>
          <w:p w14:paraId="6E4E070D" w14:textId="77777777" w:rsidR="003634C3" w:rsidRPr="00AD19AE" w:rsidRDefault="003634C3" w:rsidP="00B93BA7">
            <w:pPr>
              <w:pStyle w:val="Heading2"/>
              <w:jc w:val="left"/>
              <w:rPr>
                <w:sz w:val="22"/>
                <w:szCs w:val="22"/>
              </w:rPr>
            </w:pPr>
          </w:p>
        </w:tc>
      </w:tr>
      <w:tr w:rsidR="003634C3" w14:paraId="66843366" w14:textId="77777777" w:rsidTr="003634C3">
        <w:tc>
          <w:tcPr>
            <w:tcW w:w="1344" w:type="dxa"/>
          </w:tcPr>
          <w:p w14:paraId="48132122" w14:textId="26035844" w:rsidR="003634C3" w:rsidRPr="00AD19AE" w:rsidRDefault="003634C3" w:rsidP="00B93BA7">
            <w:pPr>
              <w:pStyle w:val="Heading2"/>
              <w:jc w:val="left"/>
              <w:rPr>
                <w:sz w:val="22"/>
                <w:szCs w:val="22"/>
              </w:rPr>
            </w:pPr>
            <w:r>
              <w:rPr>
                <w:sz w:val="22"/>
                <w:szCs w:val="22"/>
              </w:rPr>
              <w:t>Other Beverages</w:t>
            </w:r>
          </w:p>
        </w:tc>
        <w:tc>
          <w:tcPr>
            <w:tcW w:w="1531" w:type="dxa"/>
          </w:tcPr>
          <w:p w14:paraId="20EB0273" w14:textId="4A01F272" w:rsidR="003634C3" w:rsidRPr="00AD19AE" w:rsidRDefault="003634C3" w:rsidP="00B93BA7">
            <w:pPr>
              <w:pStyle w:val="Heading2"/>
              <w:jc w:val="left"/>
              <w:rPr>
                <w:sz w:val="22"/>
                <w:szCs w:val="22"/>
              </w:rPr>
            </w:pPr>
            <w:r>
              <w:rPr>
                <w:sz w:val="22"/>
                <w:szCs w:val="22"/>
              </w:rPr>
              <w:t>Flavored Water</w:t>
            </w:r>
          </w:p>
        </w:tc>
        <w:tc>
          <w:tcPr>
            <w:tcW w:w="1350" w:type="dxa"/>
          </w:tcPr>
          <w:p w14:paraId="72C9BB3C" w14:textId="6E8019CE" w:rsidR="003634C3" w:rsidRPr="00AD19AE" w:rsidRDefault="003634C3" w:rsidP="00B93BA7">
            <w:pPr>
              <w:pStyle w:val="Heading2"/>
              <w:jc w:val="left"/>
              <w:rPr>
                <w:sz w:val="22"/>
                <w:szCs w:val="22"/>
              </w:rPr>
            </w:pPr>
            <w:r>
              <w:rPr>
                <w:sz w:val="22"/>
                <w:szCs w:val="22"/>
              </w:rPr>
              <w:t>16.9oz</w:t>
            </w:r>
          </w:p>
        </w:tc>
        <w:tc>
          <w:tcPr>
            <w:tcW w:w="1710" w:type="dxa"/>
          </w:tcPr>
          <w:p w14:paraId="4020D53F" w14:textId="1E4E2F63" w:rsidR="003634C3" w:rsidRPr="00AD19AE" w:rsidRDefault="003634C3" w:rsidP="00B93BA7">
            <w:pPr>
              <w:pStyle w:val="Heading2"/>
              <w:jc w:val="left"/>
              <w:rPr>
                <w:sz w:val="22"/>
                <w:szCs w:val="22"/>
              </w:rPr>
            </w:pPr>
            <w:r>
              <w:rPr>
                <w:sz w:val="22"/>
                <w:szCs w:val="22"/>
              </w:rPr>
              <w:t>12 bottles/case</w:t>
            </w:r>
          </w:p>
        </w:tc>
        <w:tc>
          <w:tcPr>
            <w:tcW w:w="1620" w:type="dxa"/>
          </w:tcPr>
          <w:p w14:paraId="46A1B3D1" w14:textId="77777777" w:rsidR="003634C3" w:rsidRPr="00AD19AE" w:rsidRDefault="003634C3" w:rsidP="00B93BA7">
            <w:pPr>
              <w:pStyle w:val="Heading2"/>
              <w:jc w:val="left"/>
              <w:rPr>
                <w:sz w:val="22"/>
                <w:szCs w:val="22"/>
              </w:rPr>
            </w:pPr>
          </w:p>
        </w:tc>
        <w:tc>
          <w:tcPr>
            <w:tcW w:w="1710" w:type="dxa"/>
          </w:tcPr>
          <w:p w14:paraId="447C4246" w14:textId="77777777" w:rsidR="003634C3" w:rsidRPr="00AD19AE" w:rsidRDefault="003634C3" w:rsidP="00B93BA7">
            <w:pPr>
              <w:pStyle w:val="Heading2"/>
              <w:jc w:val="left"/>
              <w:rPr>
                <w:sz w:val="22"/>
                <w:szCs w:val="22"/>
              </w:rPr>
            </w:pPr>
          </w:p>
        </w:tc>
      </w:tr>
      <w:tr w:rsidR="003634C3" w14:paraId="6138501C" w14:textId="77777777" w:rsidTr="003634C3">
        <w:tc>
          <w:tcPr>
            <w:tcW w:w="1344" w:type="dxa"/>
          </w:tcPr>
          <w:p w14:paraId="64A2CF5C" w14:textId="7B8D3644" w:rsidR="003634C3" w:rsidRDefault="003634C3" w:rsidP="00B93BA7">
            <w:pPr>
              <w:pStyle w:val="Heading2"/>
              <w:jc w:val="left"/>
              <w:rPr>
                <w:sz w:val="22"/>
                <w:szCs w:val="22"/>
              </w:rPr>
            </w:pPr>
            <w:r>
              <w:rPr>
                <w:sz w:val="22"/>
                <w:szCs w:val="22"/>
              </w:rPr>
              <w:t>Other Beverages</w:t>
            </w:r>
          </w:p>
        </w:tc>
        <w:tc>
          <w:tcPr>
            <w:tcW w:w="1531" w:type="dxa"/>
          </w:tcPr>
          <w:p w14:paraId="54F9EB3D" w14:textId="16D81FAB" w:rsidR="003634C3" w:rsidRPr="00AD19AE" w:rsidRDefault="003634C3" w:rsidP="00B93BA7">
            <w:pPr>
              <w:pStyle w:val="Heading2"/>
              <w:jc w:val="left"/>
              <w:rPr>
                <w:sz w:val="22"/>
                <w:szCs w:val="22"/>
              </w:rPr>
            </w:pPr>
            <w:r>
              <w:rPr>
                <w:sz w:val="22"/>
                <w:szCs w:val="22"/>
              </w:rPr>
              <w:t>Iced Tea</w:t>
            </w:r>
          </w:p>
        </w:tc>
        <w:tc>
          <w:tcPr>
            <w:tcW w:w="1350" w:type="dxa"/>
          </w:tcPr>
          <w:p w14:paraId="12C275CE" w14:textId="249DA504" w:rsidR="003634C3" w:rsidRPr="00AD19AE" w:rsidRDefault="003634C3" w:rsidP="00B93BA7">
            <w:pPr>
              <w:pStyle w:val="Heading2"/>
              <w:jc w:val="left"/>
              <w:rPr>
                <w:sz w:val="22"/>
                <w:szCs w:val="22"/>
              </w:rPr>
            </w:pPr>
            <w:r>
              <w:rPr>
                <w:sz w:val="22"/>
                <w:szCs w:val="22"/>
              </w:rPr>
              <w:t>16oz</w:t>
            </w:r>
          </w:p>
        </w:tc>
        <w:tc>
          <w:tcPr>
            <w:tcW w:w="1710" w:type="dxa"/>
          </w:tcPr>
          <w:p w14:paraId="492E0FDD" w14:textId="387CBDB6" w:rsidR="003634C3" w:rsidRPr="00AD19AE" w:rsidRDefault="003634C3" w:rsidP="00B93BA7">
            <w:pPr>
              <w:pStyle w:val="Heading2"/>
              <w:jc w:val="left"/>
              <w:rPr>
                <w:sz w:val="22"/>
                <w:szCs w:val="22"/>
              </w:rPr>
            </w:pPr>
            <w:r>
              <w:rPr>
                <w:sz w:val="22"/>
                <w:szCs w:val="22"/>
              </w:rPr>
              <w:t>12 bottles/case</w:t>
            </w:r>
          </w:p>
        </w:tc>
        <w:tc>
          <w:tcPr>
            <w:tcW w:w="1620" w:type="dxa"/>
          </w:tcPr>
          <w:p w14:paraId="07237BB0" w14:textId="77777777" w:rsidR="003634C3" w:rsidRPr="00AD19AE" w:rsidRDefault="003634C3" w:rsidP="00B93BA7">
            <w:pPr>
              <w:pStyle w:val="Heading2"/>
              <w:jc w:val="left"/>
              <w:rPr>
                <w:sz w:val="22"/>
                <w:szCs w:val="22"/>
              </w:rPr>
            </w:pPr>
          </w:p>
        </w:tc>
        <w:tc>
          <w:tcPr>
            <w:tcW w:w="1710" w:type="dxa"/>
          </w:tcPr>
          <w:p w14:paraId="774CBFB6" w14:textId="77777777" w:rsidR="003634C3" w:rsidRPr="00AD19AE" w:rsidRDefault="003634C3" w:rsidP="00B93BA7">
            <w:pPr>
              <w:pStyle w:val="Heading2"/>
              <w:jc w:val="left"/>
              <w:rPr>
                <w:sz w:val="22"/>
                <w:szCs w:val="22"/>
              </w:rPr>
            </w:pPr>
          </w:p>
        </w:tc>
      </w:tr>
    </w:tbl>
    <w:p w14:paraId="0F2A7EAF" w14:textId="71ADE06C" w:rsidR="00AD19AE" w:rsidRDefault="00756173" w:rsidP="00AD19AE">
      <w:pPr>
        <w:pStyle w:val="Heading2"/>
        <w:jc w:val="left"/>
      </w:pPr>
      <w:r w:rsidRPr="00B93BA7">
        <w:br w:type="page"/>
      </w:r>
    </w:p>
    <w:p w14:paraId="5A640CA4" w14:textId="77777777" w:rsidR="00AD19AE" w:rsidRPr="00AD19AE" w:rsidRDefault="00AD19AE" w:rsidP="00AD19AE">
      <w:pPr>
        <w:rPr>
          <w:rFonts w:ascii="Times New Roman" w:hAnsi="Times New Roman" w:cs="Times New Roman"/>
          <w:b/>
          <w:bCs/>
        </w:rPr>
      </w:pPr>
      <w:r w:rsidRPr="00AD19AE">
        <w:rPr>
          <w:rFonts w:ascii="Times New Roman" w:hAnsi="Times New Roman" w:cs="Times New Roman"/>
          <w:b/>
          <w:bCs/>
        </w:rPr>
        <w:t>Equipment Pricing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8"/>
        <w:gridCol w:w="2719"/>
        <w:gridCol w:w="1488"/>
        <w:gridCol w:w="1137"/>
        <w:gridCol w:w="1858"/>
      </w:tblGrid>
      <w:tr w:rsidR="00437270" w:rsidRPr="00AD19AE" w14:paraId="5690CA86" w14:textId="77777777" w:rsidTr="00AD19AE">
        <w:trPr>
          <w:tblHeader/>
          <w:tblCellSpacing w:w="15" w:type="dxa"/>
        </w:trPr>
        <w:tc>
          <w:tcPr>
            <w:tcW w:w="0" w:type="auto"/>
            <w:vAlign w:val="center"/>
            <w:hideMark/>
          </w:tcPr>
          <w:p w14:paraId="3DC9164C" w14:textId="77777777" w:rsidR="00437270" w:rsidRPr="00AD19AE" w:rsidRDefault="00437270" w:rsidP="00AD19AE">
            <w:pPr>
              <w:rPr>
                <w:rFonts w:ascii="Times New Roman" w:hAnsi="Times New Roman" w:cs="Times New Roman"/>
                <w:b/>
                <w:bCs/>
              </w:rPr>
            </w:pPr>
            <w:r w:rsidRPr="00AD19AE">
              <w:rPr>
                <w:rFonts w:ascii="Times New Roman" w:hAnsi="Times New Roman" w:cs="Times New Roman"/>
                <w:b/>
                <w:bCs/>
              </w:rPr>
              <w:t>Equipment</w:t>
            </w:r>
          </w:p>
        </w:tc>
        <w:tc>
          <w:tcPr>
            <w:tcW w:w="0" w:type="auto"/>
            <w:vAlign w:val="center"/>
            <w:hideMark/>
          </w:tcPr>
          <w:p w14:paraId="66692917" w14:textId="77777777" w:rsidR="00437270" w:rsidRPr="00AD19AE" w:rsidRDefault="00437270" w:rsidP="00AD19AE">
            <w:pPr>
              <w:rPr>
                <w:rFonts w:ascii="Times New Roman" w:hAnsi="Times New Roman" w:cs="Times New Roman"/>
                <w:b/>
                <w:bCs/>
              </w:rPr>
            </w:pPr>
            <w:r w:rsidRPr="00AD19AE">
              <w:rPr>
                <w:rFonts w:ascii="Times New Roman" w:hAnsi="Times New Roman" w:cs="Times New Roman"/>
                <w:b/>
                <w:bCs/>
              </w:rPr>
              <w:t>Description</w:t>
            </w:r>
          </w:p>
        </w:tc>
        <w:tc>
          <w:tcPr>
            <w:tcW w:w="0" w:type="auto"/>
            <w:vAlign w:val="center"/>
            <w:hideMark/>
          </w:tcPr>
          <w:p w14:paraId="6B5A3C22" w14:textId="77777777" w:rsidR="00437270" w:rsidRPr="00AD19AE" w:rsidRDefault="00437270" w:rsidP="00AD19AE">
            <w:pPr>
              <w:rPr>
                <w:rFonts w:ascii="Times New Roman" w:hAnsi="Times New Roman" w:cs="Times New Roman"/>
                <w:b/>
                <w:bCs/>
              </w:rPr>
            </w:pPr>
            <w:r w:rsidRPr="00AD19AE">
              <w:rPr>
                <w:rFonts w:ascii="Times New Roman" w:hAnsi="Times New Roman" w:cs="Times New Roman"/>
                <w:b/>
                <w:bCs/>
              </w:rPr>
              <w:t>Rental Cost (Monthly)</w:t>
            </w:r>
          </w:p>
        </w:tc>
        <w:tc>
          <w:tcPr>
            <w:tcW w:w="0" w:type="auto"/>
            <w:vAlign w:val="center"/>
            <w:hideMark/>
          </w:tcPr>
          <w:p w14:paraId="7FC1C9F3" w14:textId="77777777" w:rsidR="00437270" w:rsidRPr="00AD19AE" w:rsidRDefault="00437270" w:rsidP="00AD19AE">
            <w:pPr>
              <w:rPr>
                <w:rFonts w:ascii="Times New Roman" w:hAnsi="Times New Roman" w:cs="Times New Roman"/>
                <w:b/>
                <w:bCs/>
              </w:rPr>
            </w:pPr>
            <w:r w:rsidRPr="00AD19AE">
              <w:rPr>
                <w:rFonts w:ascii="Times New Roman" w:hAnsi="Times New Roman" w:cs="Times New Roman"/>
                <w:b/>
                <w:bCs/>
              </w:rPr>
              <w:t>Purchase Cost</w:t>
            </w:r>
          </w:p>
        </w:tc>
        <w:tc>
          <w:tcPr>
            <w:tcW w:w="0" w:type="auto"/>
            <w:vAlign w:val="center"/>
            <w:hideMark/>
          </w:tcPr>
          <w:p w14:paraId="486D7B2B" w14:textId="77777777" w:rsidR="00437270" w:rsidRPr="00AD19AE" w:rsidRDefault="00437270" w:rsidP="00AD19AE">
            <w:pPr>
              <w:rPr>
                <w:rFonts w:ascii="Times New Roman" w:hAnsi="Times New Roman" w:cs="Times New Roman"/>
                <w:b/>
                <w:bCs/>
              </w:rPr>
            </w:pPr>
            <w:r w:rsidRPr="00AD19AE">
              <w:rPr>
                <w:rFonts w:ascii="Times New Roman" w:hAnsi="Times New Roman" w:cs="Times New Roman"/>
                <w:b/>
                <w:bCs/>
              </w:rPr>
              <w:t>Maintenance Cost (Annual)</w:t>
            </w:r>
          </w:p>
        </w:tc>
      </w:tr>
      <w:tr w:rsidR="00437270" w:rsidRPr="00AD19AE" w14:paraId="1099F65F" w14:textId="77777777" w:rsidTr="00AD19AE">
        <w:trPr>
          <w:tblCellSpacing w:w="15" w:type="dxa"/>
        </w:trPr>
        <w:tc>
          <w:tcPr>
            <w:tcW w:w="0" w:type="auto"/>
            <w:vAlign w:val="center"/>
            <w:hideMark/>
          </w:tcPr>
          <w:p w14:paraId="0BB65CE3" w14:textId="77777777" w:rsidR="00437270" w:rsidRPr="00AD19AE" w:rsidRDefault="00437270" w:rsidP="00AD19AE">
            <w:pPr>
              <w:rPr>
                <w:rFonts w:ascii="Times New Roman" w:hAnsi="Times New Roman" w:cs="Times New Roman"/>
              </w:rPr>
            </w:pPr>
            <w:r w:rsidRPr="00AD19AE">
              <w:rPr>
                <w:rFonts w:ascii="Times New Roman" w:hAnsi="Times New Roman" w:cs="Times New Roman"/>
                <w:b/>
                <w:bCs/>
              </w:rPr>
              <w:t>Vending Machines</w:t>
            </w:r>
          </w:p>
        </w:tc>
        <w:tc>
          <w:tcPr>
            <w:tcW w:w="0" w:type="auto"/>
            <w:vAlign w:val="center"/>
            <w:hideMark/>
          </w:tcPr>
          <w:p w14:paraId="6E161AA6" w14:textId="77777777" w:rsidR="00437270" w:rsidRPr="00AD19AE" w:rsidRDefault="00437270" w:rsidP="00AD19AE">
            <w:pPr>
              <w:rPr>
                <w:rFonts w:ascii="Times New Roman" w:hAnsi="Times New Roman" w:cs="Times New Roman"/>
              </w:rPr>
            </w:pPr>
            <w:r w:rsidRPr="00AD19AE">
              <w:rPr>
                <w:rFonts w:ascii="Times New Roman" w:hAnsi="Times New Roman" w:cs="Times New Roman"/>
              </w:rPr>
              <w:t>Energy-efficient, ADA-compliant, multi-payment system</w:t>
            </w:r>
          </w:p>
        </w:tc>
        <w:tc>
          <w:tcPr>
            <w:tcW w:w="0" w:type="auto"/>
            <w:vAlign w:val="center"/>
          </w:tcPr>
          <w:p w14:paraId="61093642" w14:textId="61B1BC8E" w:rsidR="00437270" w:rsidRPr="00AD19AE" w:rsidRDefault="00437270" w:rsidP="00AD19AE">
            <w:pPr>
              <w:rPr>
                <w:rFonts w:ascii="Times New Roman" w:hAnsi="Times New Roman" w:cs="Times New Roman"/>
              </w:rPr>
            </w:pPr>
          </w:p>
        </w:tc>
        <w:tc>
          <w:tcPr>
            <w:tcW w:w="0" w:type="auto"/>
            <w:vAlign w:val="center"/>
          </w:tcPr>
          <w:p w14:paraId="397367CE" w14:textId="598BC281" w:rsidR="00437270" w:rsidRPr="00AD19AE" w:rsidRDefault="00437270" w:rsidP="00AD19AE">
            <w:pPr>
              <w:rPr>
                <w:rFonts w:ascii="Times New Roman" w:hAnsi="Times New Roman" w:cs="Times New Roman"/>
              </w:rPr>
            </w:pPr>
          </w:p>
        </w:tc>
        <w:tc>
          <w:tcPr>
            <w:tcW w:w="0" w:type="auto"/>
            <w:vAlign w:val="center"/>
          </w:tcPr>
          <w:p w14:paraId="1B621DE8" w14:textId="58FF69D4" w:rsidR="00437270" w:rsidRPr="00AD19AE" w:rsidRDefault="00437270" w:rsidP="00AD19AE">
            <w:pPr>
              <w:rPr>
                <w:rFonts w:ascii="Times New Roman" w:hAnsi="Times New Roman" w:cs="Times New Roman"/>
              </w:rPr>
            </w:pPr>
          </w:p>
        </w:tc>
      </w:tr>
      <w:tr w:rsidR="00437270" w:rsidRPr="00AD19AE" w14:paraId="31208FD5" w14:textId="77777777" w:rsidTr="00AD19AE">
        <w:trPr>
          <w:tblCellSpacing w:w="15" w:type="dxa"/>
        </w:trPr>
        <w:tc>
          <w:tcPr>
            <w:tcW w:w="0" w:type="auto"/>
            <w:vAlign w:val="center"/>
            <w:hideMark/>
          </w:tcPr>
          <w:p w14:paraId="7D8D4285" w14:textId="77777777" w:rsidR="00437270" w:rsidRPr="00AD19AE" w:rsidRDefault="00437270" w:rsidP="00AD19AE">
            <w:pPr>
              <w:rPr>
                <w:rFonts w:ascii="Times New Roman" w:hAnsi="Times New Roman" w:cs="Times New Roman"/>
              </w:rPr>
            </w:pPr>
            <w:r w:rsidRPr="00AD19AE">
              <w:rPr>
                <w:rFonts w:ascii="Times New Roman" w:hAnsi="Times New Roman" w:cs="Times New Roman"/>
                <w:b/>
                <w:bCs/>
              </w:rPr>
              <w:t>Coolers/Refrigerators</w:t>
            </w:r>
          </w:p>
        </w:tc>
        <w:tc>
          <w:tcPr>
            <w:tcW w:w="0" w:type="auto"/>
            <w:vAlign w:val="center"/>
            <w:hideMark/>
          </w:tcPr>
          <w:p w14:paraId="2F3DE85F" w14:textId="77777777" w:rsidR="00437270" w:rsidRPr="00AD19AE" w:rsidRDefault="00437270" w:rsidP="00AD19AE">
            <w:pPr>
              <w:rPr>
                <w:rFonts w:ascii="Times New Roman" w:hAnsi="Times New Roman" w:cs="Times New Roman"/>
              </w:rPr>
            </w:pPr>
            <w:r w:rsidRPr="00AD19AE">
              <w:rPr>
                <w:rFonts w:ascii="Times New Roman" w:hAnsi="Times New Roman" w:cs="Times New Roman"/>
              </w:rPr>
              <w:t>For storage and display of beverages</w:t>
            </w:r>
          </w:p>
        </w:tc>
        <w:tc>
          <w:tcPr>
            <w:tcW w:w="0" w:type="auto"/>
            <w:vAlign w:val="center"/>
          </w:tcPr>
          <w:p w14:paraId="75084852" w14:textId="0A44262E" w:rsidR="00437270" w:rsidRPr="00AD19AE" w:rsidRDefault="00437270" w:rsidP="00AD19AE">
            <w:pPr>
              <w:rPr>
                <w:rFonts w:ascii="Times New Roman" w:hAnsi="Times New Roman" w:cs="Times New Roman"/>
              </w:rPr>
            </w:pPr>
          </w:p>
        </w:tc>
        <w:tc>
          <w:tcPr>
            <w:tcW w:w="0" w:type="auto"/>
            <w:vAlign w:val="center"/>
          </w:tcPr>
          <w:p w14:paraId="59CB5A63" w14:textId="70CD2CFF" w:rsidR="00437270" w:rsidRPr="00AD19AE" w:rsidRDefault="00437270" w:rsidP="00AD19AE">
            <w:pPr>
              <w:rPr>
                <w:rFonts w:ascii="Times New Roman" w:hAnsi="Times New Roman" w:cs="Times New Roman"/>
              </w:rPr>
            </w:pPr>
          </w:p>
        </w:tc>
        <w:tc>
          <w:tcPr>
            <w:tcW w:w="0" w:type="auto"/>
            <w:vAlign w:val="center"/>
          </w:tcPr>
          <w:p w14:paraId="695777AE" w14:textId="3D0E833A" w:rsidR="00437270" w:rsidRPr="00AD19AE" w:rsidRDefault="00437270" w:rsidP="00AD19AE">
            <w:pPr>
              <w:rPr>
                <w:rFonts w:ascii="Times New Roman" w:hAnsi="Times New Roman" w:cs="Times New Roman"/>
              </w:rPr>
            </w:pPr>
          </w:p>
        </w:tc>
      </w:tr>
      <w:tr w:rsidR="00437270" w:rsidRPr="00AD19AE" w14:paraId="47D7F823" w14:textId="77777777" w:rsidTr="00AD19AE">
        <w:trPr>
          <w:tblCellSpacing w:w="15" w:type="dxa"/>
        </w:trPr>
        <w:tc>
          <w:tcPr>
            <w:tcW w:w="0" w:type="auto"/>
            <w:vAlign w:val="center"/>
            <w:hideMark/>
          </w:tcPr>
          <w:p w14:paraId="493AB1A0" w14:textId="77777777" w:rsidR="00437270" w:rsidRPr="00AD19AE" w:rsidRDefault="00437270" w:rsidP="00AD19AE">
            <w:pPr>
              <w:rPr>
                <w:rFonts w:ascii="Times New Roman" w:hAnsi="Times New Roman" w:cs="Times New Roman"/>
              </w:rPr>
            </w:pPr>
            <w:r w:rsidRPr="00AD19AE">
              <w:rPr>
                <w:rFonts w:ascii="Times New Roman" w:hAnsi="Times New Roman" w:cs="Times New Roman"/>
                <w:b/>
                <w:bCs/>
              </w:rPr>
              <w:t>Dispensers</w:t>
            </w:r>
          </w:p>
        </w:tc>
        <w:tc>
          <w:tcPr>
            <w:tcW w:w="0" w:type="auto"/>
            <w:vAlign w:val="center"/>
            <w:hideMark/>
          </w:tcPr>
          <w:p w14:paraId="6BBD1965" w14:textId="77777777" w:rsidR="00437270" w:rsidRPr="00AD19AE" w:rsidRDefault="00437270" w:rsidP="00AD19AE">
            <w:pPr>
              <w:rPr>
                <w:rFonts w:ascii="Times New Roman" w:hAnsi="Times New Roman" w:cs="Times New Roman"/>
              </w:rPr>
            </w:pPr>
            <w:r w:rsidRPr="00AD19AE">
              <w:rPr>
                <w:rFonts w:ascii="Times New Roman" w:hAnsi="Times New Roman" w:cs="Times New Roman"/>
              </w:rPr>
              <w:t>Bulk beverage dispensers</w:t>
            </w:r>
          </w:p>
        </w:tc>
        <w:tc>
          <w:tcPr>
            <w:tcW w:w="0" w:type="auto"/>
            <w:vAlign w:val="center"/>
          </w:tcPr>
          <w:p w14:paraId="50842277" w14:textId="07468404" w:rsidR="00437270" w:rsidRPr="00AD19AE" w:rsidRDefault="00437270" w:rsidP="00AD19AE">
            <w:pPr>
              <w:rPr>
                <w:rFonts w:ascii="Times New Roman" w:hAnsi="Times New Roman" w:cs="Times New Roman"/>
              </w:rPr>
            </w:pPr>
          </w:p>
        </w:tc>
        <w:tc>
          <w:tcPr>
            <w:tcW w:w="0" w:type="auto"/>
            <w:vAlign w:val="center"/>
          </w:tcPr>
          <w:p w14:paraId="782B02EC" w14:textId="7B9B1376" w:rsidR="00437270" w:rsidRPr="00AD19AE" w:rsidRDefault="00437270" w:rsidP="00AD19AE">
            <w:pPr>
              <w:rPr>
                <w:rFonts w:ascii="Times New Roman" w:hAnsi="Times New Roman" w:cs="Times New Roman"/>
              </w:rPr>
            </w:pPr>
          </w:p>
        </w:tc>
        <w:tc>
          <w:tcPr>
            <w:tcW w:w="0" w:type="auto"/>
            <w:vAlign w:val="center"/>
          </w:tcPr>
          <w:p w14:paraId="251C13D1" w14:textId="13DC0AE8" w:rsidR="00437270" w:rsidRPr="00AD19AE" w:rsidRDefault="00437270" w:rsidP="00AD19AE">
            <w:pPr>
              <w:rPr>
                <w:rFonts w:ascii="Times New Roman" w:hAnsi="Times New Roman" w:cs="Times New Roman"/>
              </w:rPr>
            </w:pPr>
          </w:p>
        </w:tc>
      </w:tr>
    </w:tbl>
    <w:p w14:paraId="692EA3ED" w14:textId="77777777" w:rsidR="00AD19AE" w:rsidRDefault="00AD19AE" w:rsidP="00AD19AE"/>
    <w:p w14:paraId="1D5FF20A" w14:textId="77777777" w:rsidR="00437270" w:rsidRPr="00437270" w:rsidRDefault="00437270" w:rsidP="00437270">
      <w:pPr>
        <w:rPr>
          <w:rFonts w:ascii="Times New Roman" w:hAnsi="Times New Roman" w:cs="Times New Roman"/>
          <w:b/>
          <w:bCs/>
        </w:rPr>
      </w:pPr>
      <w:r w:rsidRPr="00437270">
        <w:rPr>
          <w:rFonts w:ascii="Times New Roman" w:hAnsi="Times New Roman" w:cs="Times New Roman"/>
          <w:b/>
          <w:bCs/>
        </w:rPr>
        <w:t>Additional Costs</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3948"/>
        <w:gridCol w:w="2240"/>
        <w:gridCol w:w="1440"/>
      </w:tblGrid>
      <w:tr w:rsidR="000B6182" w:rsidRPr="00437270" w14:paraId="5125F7F8" w14:textId="77777777" w:rsidTr="000B6182">
        <w:trPr>
          <w:tblHeader/>
          <w:tblCellSpacing w:w="15" w:type="dxa"/>
        </w:trPr>
        <w:tc>
          <w:tcPr>
            <w:tcW w:w="0" w:type="auto"/>
            <w:vAlign w:val="center"/>
            <w:hideMark/>
          </w:tcPr>
          <w:p w14:paraId="04D5353D" w14:textId="77777777" w:rsidR="000B6182" w:rsidRPr="00437270" w:rsidRDefault="000B6182" w:rsidP="00437270">
            <w:pPr>
              <w:rPr>
                <w:rFonts w:ascii="Times New Roman" w:hAnsi="Times New Roman" w:cs="Times New Roman"/>
                <w:b/>
                <w:bCs/>
              </w:rPr>
            </w:pPr>
            <w:r w:rsidRPr="00437270">
              <w:rPr>
                <w:rFonts w:ascii="Times New Roman" w:hAnsi="Times New Roman" w:cs="Times New Roman"/>
                <w:b/>
                <w:bCs/>
              </w:rPr>
              <w:t>Cost Type</w:t>
            </w:r>
          </w:p>
        </w:tc>
        <w:tc>
          <w:tcPr>
            <w:tcW w:w="0" w:type="auto"/>
            <w:vAlign w:val="center"/>
            <w:hideMark/>
          </w:tcPr>
          <w:p w14:paraId="02682334" w14:textId="77777777" w:rsidR="000B6182" w:rsidRPr="00437270" w:rsidRDefault="000B6182" w:rsidP="00437270">
            <w:pPr>
              <w:rPr>
                <w:rFonts w:ascii="Times New Roman" w:hAnsi="Times New Roman" w:cs="Times New Roman"/>
                <w:b/>
                <w:bCs/>
              </w:rPr>
            </w:pPr>
            <w:r w:rsidRPr="00437270">
              <w:rPr>
                <w:rFonts w:ascii="Times New Roman" w:hAnsi="Times New Roman" w:cs="Times New Roman"/>
                <w:b/>
                <w:bCs/>
              </w:rPr>
              <w:t>Description</w:t>
            </w:r>
          </w:p>
        </w:tc>
        <w:tc>
          <w:tcPr>
            <w:tcW w:w="2210" w:type="dxa"/>
            <w:vAlign w:val="center"/>
            <w:hideMark/>
          </w:tcPr>
          <w:p w14:paraId="701B44A6" w14:textId="77777777" w:rsidR="000B6182" w:rsidRPr="00437270" w:rsidRDefault="000B6182" w:rsidP="00437270">
            <w:pPr>
              <w:rPr>
                <w:rFonts w:ascii="Times New Roman" w:hAnsi="Times New Roman" w:cs="Times New Roman"/>
                <w:b/>
                <w:bCs/>
              </w:rPr>
            </w:pPr>
            <w:r w:rsidRPr="00437270">
              <w:rPr>
                <w:rFonts w:ascii="Times New Roman" w:hAnsi="Times New Roman" w:cs="Times New Roman"/>
                <w:b/>
                <w:bCs/>
              </w:rPr>
              <w:t>Cost</w:t>
            </w:r>
          </w:p>
        </w:tc>
        <w:tc>
          <w:tcPr>
            <w:tcW w:w="1395" w:type="dxa"/>
            <w:vAlign w:val="center"/>
            <w:hideMark/>
          </w:tcPr>
          <w:p w14:paraId="61258E70" w14:textId="77777777" w:rsidR="000B6182" w:rsidRPr="00437270" w:rsidRDefault="000B6182" w:rsidP="00437270">
            <w:pPr>
              <w:rPr>
                <w:rFonts w:ascii="Times New Roman" w:hAnsi="Times New Roman" w:cs="Times New Roman"/>
                <w:b/>
                <w:bCs/>
              </w:rPr>
            </w:pPr>
            <w:r w:rsidRPr="00437270">
              <w:rPr>
                <w:rFonts w:ascii="Times New Roman" w:hAnsi="Times New Roman" w:cs="Times New Roman"/>
                <w:b/>
                <w:bCs/>
              </w:rPr>
              <w:t>Frequency</w:t>
            </w:r>
          </w:p>
        </w:tc>
      </w:tr>
      <w:tr w:rsidR="000B6182" w:rsidRPr="00437270" w14:paraId="22EA9AC4" w14:textId="77777777" w:rsidTr="000B6182">
        <w:trPr>
          <w:tblCellSpacing w:w="15" w:type="dxa"/>
        </w:trPr>
        <w:tc>
          <w:tcPr>
            <w:tcW w:w="0" w:type="auto"/>
            <w:vAlign w:val="center"/>
            <w:hideMark/>
          </w:tcPr>
          <w:p w14:paraId="38A6B80A" w14:textId="77777777" w:rsidR="000B6182" w:rsidRPr="00437270" w:rsidRDefault="000B6182" w:rsidP="00437270">
            <w:pPr>
              <w:rPr>
                <w:rFonts w:ascii="Times New Roman" w:hAnsi="Times New Roman" w:cs="Times New Roman"/>
              </w:rPr>
            </w:pPr>
            <w:r w:rsidRPr="00437270">
              <w:rPr>
                <w:rFonts w:ascii="Times New Roman" w:hAnsi="Times New Roman" w:cs="Times New Roman"/>
                <w:b/>
                <w:bCs/>
              </w:rPr>
              <w:t>Delivery Charges</w:t>
            </w:r>
          </w:p>
        </w:tc>
        <w:tc>
          <w:tcPr>
            <w:tcW w:w="0" w:type="auto"/>
            <w:vAlign w:val="center"/>
            <w:hideMark/>
          </w:tcPr>
          <w:p w14:paraId="6EEF3464"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Delivery fee per location</w:t>
            </w:r>
          </w:p>
        </w:tc>
        <w:tc>
          <w:tcPr>
            <w:tcW w:w="2210" w:type="dxa"/>
            <w:vAlign w:val="center"/>
            <w:hideMark/>
          </w:tcPr>
          <w:p w14:paraId="69B9DB95"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$X.XX per location</w:t>
            </w:r>
          </w:p>
        </w:tc>
        <w:tc>
          <w:tcPr>
            <w:tcW w:w="1395" w:type="dxa"/>
            <w:vAlign w:val="center"/>
            <w:hideMark/>
          </w:tcPr>
          <w:p w14:paraId="1A29DBB1"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Per delivery</w:t>
            </w:r>
          </w:p>
        </w:tc>
      </w:tr>
      <w:tr w:rsidR="000B6182" w:rsidRPr="00437270" w14:paraId="58BBE580" w14:textId="77777777" w:rsidTr="000B6182">
        <w:trPr>
          <w:tblCellSpacing w:w="15" w:type="dxa"/>
        </w:trPr>
        <w:tc>
          <w:tcPr>
            <w:tcW w:w="0" w:type="auto"/>
            <w:vAlign w:val="center"/>
            <w:hideMark/>
          </w:tcPr>
          <w:p w14:paraId="1D401F95" w14:textId="77777777" w:rsidR="000B6182" w:rsidRPr="00437270" w:rsidRDefault="000B6182" w:rsidP="00437270">
            <w:pPr>
              <w:rPr>
                <w:rFonts w:ascii="Times New Roman" w:hAnsi="Times New Roman" w:cs="Times New Roman"/>
              </w:rPr>
            </w:pPr>
            <w:r w:rsidRPr="00437270">
              <w:rPr>
                <w:rFonts w:ascii="Times New Roman" w:hAnsi="Times New Roman" w:cs="Times New Roman"/>
                <w:b/>
                <w:bCs/>
              </w:rPr>
              <w:t>Installation Fees</w:t>
            </w:r>
          </w:p>
        </w:tc>
        <w:tc>
          <w:tcPr>
            <w:tcW w:w="0" w:type="auto"/>
            <w:vAlign w:val="center"/>
            <w:hideMark/>
          </w:tcPr>
          <w:p w14:paraId="40084A75"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Installation of vending machines/equipment</w:t>
            </w:r>
          </w:p>
        </w:tc>
        <w:tc>
          <w:tcPr>
            <w:tcW w:w="2210" w:type="dxa"/>
            <w:vAlign w:val="center"/>
            <w:hideMark/>
          </w:tcPr>
          <w:p w14:paraId="191D2E3E" w14:textId="35003650" w:rsidR="000B6182" w:rsidRPr="00437270" w:rsidRDefault="000B6182" w:rsidP="00437270">
            <w:pPr>
              <w:rPr>
                <w:rFonts w:ascii="Times New Roman" w:hAnsi="Times New Roman" w:cs="Times New Roman"/>
              </w:rPr>
            </w:pPr>
            <w:r w:rsidRPr="00437270">
              <w:rPr>
                <w:rFonts w:ascii="Times New Roman" w:hAnsi="Times New Roman" w:cs="Times New Roman"/>
              </w:rPr>
              <w:t>$X.XX per unit</w:t>
            </w:r>
          </w:p>
        </w:tc>
        <w:tc>
          <w:tcPr>
            <w:tcW w:w="1395" w:type="dxa"/>
            <w:vAlign w:val="center"/>
            <w:hideMark/>
          </w:tcPr>
          <w:p w14:paraId="0F83BBCC"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One-time</w:t>
            </w:r>
          </w:p>
        </w:tc>
      </w:tr>
      <w:tr w:rsidR="000B6182" w:rsidRPr="00437270" w14:paraId="2609272F" w14:textId="77777777" w:rsidTr="000B6182">
        <w:trPr>
          <w:tblCellSpacing w:w="15" w:type="dxa"/>
        </w:trPr>
        <w:tc>
          <w:tcPr>
            <w:tcW w:w="0" w:type="auto"/>
            <w:vAlign w:val="center"/>
            <w:hideMark/>
          </w:tcPr>
          <w:p w14:paraId="3B6054B0" w14:textId="77777777" w:rsidR="000B6182" w:rsidRPr="00437270" w:rsidRDefault="000B6182" w:rsidP="00437270">
            <w:pPr>
              <w:rPr>
                <w:rFonts w:ascii="Times New Roman" w:hAnsi="Times New Roman" w:cs="Times New Roman"/>
              </w:rPr>
            </w:pPr>
            <w:r w:rsidRPr="00437270">
              <w:rPr>
                <w:rFonts w:ascii="Times New Roman" w:hAnsi="Times New Roman" w:cs="Times New Roman"/>
                <w:b/>
                <w:bCs/>
              </w:rPr>
              <w:t>Training Costs</w:t>
            </w:r>
          </w:p>
        </w:tc>
        <w:tc>
          <w:tcPr>
            <w:tcW w:w="0" w:type="auto"/>
            <w:vAlign w:val="center"/>
            <w:hideMark/>
          </w:tcPr>
          <w:p w14:paraId="799DC112"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Staff training on equipment use</w:t>
            </w:r>
          </w:p>
        </w:tc>
        <w:tc>
          <w:tcPr>
            <w:tcW w:w="2210" w:type="dxa"/>
            <w:vAlign w:val="center"/>
            <w:hideMark/>
          </w:tcPr>
          <w:p w14:paraId="3404C747" w14:textId="6430664A" w:rsidR="000B6182" w:rsidRPr="00437270" w:rsidRDefault="000B6182" w:rsidP="00437270">
            <w:pPr>
              <w:rPr>
                <w:rFonts w:ascii="Times New Roman" w:hAnsi="Times New Roman" w:cs="Times New Roman"/>
              </w:rPr>
            </w:pPr>
            <w:r w:rsidRPr="00437270">
              <w:rPr>
                <w:rFonts w:ascii="Times New Roman" w:hAnsi="Times New Roman" w:cs="Times New Roman"/>
              </w:rPr>
              <w:t>$X.XX per session</w:t>
            </w:r>
          </w:p>
        </w:tc>
        <w:tc>
          <w:tcPr>
            <w:tcW w:w="1395" w:type="dxa"/>
            <w:vAlign w:val="center"/>
            <w:hideMark/>
          </w:tcPr>
          <w:p w14:paraId="365DAC76" w14:textId="77777777" w:rsidR="000B6182" w:rsidRPr="00437270" w:rsidRDefault="000B6182" w:rsidP="00437270">
            <w:pPr>
              <w:rPr>
                <w:rFonts w:ascii="Times New Roman" w:hAnsi="Times New Roman" w:cs="Times New Roman"/>
              </w:rPr>
            </w:pPr>
            <w:r w:rsidRPr="00437270">
              <w:rPr>
                <w:rFonts w:ascii="Times New Roman" w:hAnsi="Times New Roman" w:cs="Times New Roman"/>
              </w:rPr>
              <w:t>As needed</w:t>
            </w:r>
          </w:p>
        </w:tc>
      </w:tr>
    </w:tbl>
    <w:p w14:paraId="0D98D7AD" w14:textId="77777777" w:rsidR="00437270" w:rsidRPr="00AD19AE" w:rsidRDefault="00437270" w:rsidP="00AD19AE"/>
    <w:p w14:paraId="3964A940" w14:textId="4A47F1A8" w:rsidR="00AD19AE" w:rsidRDefault="00AD19AE" w:rsidP="00CC3F7A">
      <w:pPr>
        <w:spacing w:after="0" w:line="259" w:lineRule="auto"/>
      </w:pPr>
      <w:r>
        <w:br w:type="page"/>
      </w:r>
    </w:p>
    <w:p w14:paraId="3E193822" w14:textId="5D40C8D3"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t xml:space="preserve">ATTACHMENT B - </w:t>
      </w:r>
      <w:bookmarkStart w:id="140" w:name="_Hlk147130556"/>
      <w:r w:rsidRPr="00D90AB4">
        <w:rPr>
          <w:rFonts w:ascii="Times New Roman" w:hAnsi="Times New Roman" w:cs="Times New Roman"/>
          <w:b/>
          <w:bCs/>
        </w:rPr>
        <w:t>COVID &amp; ARPA FEDERAL REQUIREMENTS</w:t>
      </w:r>
      <w:bookmarkEnd w:id="140"/>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(B) All contracts in excess of $10,000 must address termination for cause and for convenience by the non-Federal entity including the manner by which it will be effected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Davis-Bacon Act, as amended (40 U.S.C. §§3141-3148). When required by Federal program legislation, all prime construction contracts in excess of $2,000 awarded by non-Federal entities must include a provision for compliance with the Davis-Bacon Act (40 U.S.C. §§3141-3144, and §§ 3146-3148) as supplemented by Department of Labor regulations (29 C.F.R. Part 5, “Labor Standards Provisions Applicable to Contracts Covering Federally Financed and Assisted Construction”). </w:t>
      </w:r>
    </w:p>
    <w:p w14:paraId="5EF2E792"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FB0BBD">
      <w:pPr>
        <w:numPr>
          <w:ilvl w:val="0"/>
          <w:numId w:val="15"/>
        </w:numPr>
        <w:spacing w:after="0" w:line="259" w:lineRule="auto"/>
        <w:rPr>
          <w:rFonts w:ascii="Times New Roman" w:hAnsi="Times New Roman" w:cs="Times New Roman"/>
        </w:rPr>
      </w:pPr>
      <w:bookmarkStart w:id="141"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41"/>
    <w:p w14:paraId="00EBF315"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 above and such other clauses as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Where applicable, all contracts awarded by the non-Federal entity in excess of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w:t>
      </w:r>
    </w:p>
    <w:p w14:paraId="72162D21"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include these requirements in each subcontract in excess of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Each tier must also disclose any lobbying with non-Federal funds that takes place in connection with obtaining any Federal award. Such disclosures are forwarded from tier to tier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Each tier shall also disclose any lobbying with non-Federal funds that takes place in connection with obtaining any Federal award. Such disclosures are forwarded from tier to tier up to the non-Federal award.(J)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In the performance of this Contract, the Contractor shall make maximum use of products containing recovered materials that are EPA-designated items unless the product cannot be acquired: (i) competitively within a timeframe providing for compliance with the Contract 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4"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(i)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See  Public  Law  115-232,  section  889  for  additional  information.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FB0BBD">
      <w:pPr>
        <w:numPr>
          <w:ilvl w:val="0"/>
          <w:numId w:val="24"/>
        </w:numPr>
        <w:spacing w:after="0" w:line="259" w:lineRule="auto"/>
        <w:rPr>
          <w:rFonts w:ascii="Times New Roman" w:hAnsi="Times New Roman" w:cs="Times New Roman"/>
        </w:rPr>
      </w:pPr>
      <w:r w:rsidRPr="00CC3F7A">
        <w:rPr>
          <w:rFonts w:ascii="Times New Roman" w:hAnsi="Times New Roman" w:cs="Times New Roman"/>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FB0BBD">
      <w:pPr>
        <w:numPr>
          <w:ilvl w:val="0"/>
          <w:numId w:val="25"/>
        </w:numPr>
        <w:spacing w:after="0" w:line="259" w:lineRule="auto"/>
        <w:rPr>
          <w:rFonts w:ascii="Times New Roman" w:hAnsi="Times New Roman" w:cs="Times New Roman"/>
        </w:rPr>
      </w:pPr>
      <w:r w:rsidRPr="00CC3F7A">
        <w:rPr>
          <w:rFonts w:ascii="Times New Roman" w:hAnsi="Times New Roman" w:cs="Times New Roman"/>
        </w:rPr>
        <w:t>For purposes of this section: (i)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Citations: 10 U.S.C. § 2304(c)(2) or 41 U.S.C. § 3304(a)(2).</w:t>
      </w:r>
    </w:p>
    <w:p w14:paraId="516D023D"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Delay in award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Contracts awarded using this authority shall be supported by the written justifications and approvals described in 6.303 and 6.304. These justifications may be made and approved after contract award when preparation and approval prior to award would unreasonably delay the acquisition.</w:t>
      </w:r>
    </w:p>
    <w:p w14:paraId="49DC442F"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This statutory authority requires that agencies shall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FB0BBD">
      <w:pPr>
        <w:numPr>
          <w:ilvl w:val="2"/>
          <w:numId w:val="13"/>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For the agency to enter into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FB0BBD">
      <w:pPr>
        <w:widowControl w:val="0"/>
        <w:numPr>
          <w:ilvl w:val="2"/>
          <w:numId w:val="13"/>
        </w:numPr>
        <w:spacing w:after="240" w:line="240" w:lineRule="auto"/>
        <w:rPr>
          <w:rFonts w:ascii="Times New Roman" w:hAnsi="Times New Roman" w:cs="Times New Roman"/>
        </w:rPr>
      </w:pPr>
      <w:r w:rsidRPr="00CC3F7A">
        <w:rPr>
          <w:rFonts w:ascii="Times New Roman" w:hAnsi="Times New Roman" w:cs="Times New Roman"/>
        </w:rPr>
        <w:t>May not exceed one year, including all options, unless the head of the agency determines that exceptional circumstances apply. This determination must be documented in the contract file.</w:t>
      </w:r>
    </w:p>
    <w:p w14:paraId="641FF28C" w14:textId="77777777" w:rsidR="00CC3F7A" w:rsidRPr="00CC3F7A" w:rsidRDefault="00CC3F7A" w:rsidP="00FB0BBD">
      <w:pPr>
        <w:widowControl w:val="0"/>
        <w:numPr>
          <w:ilvl w:val="0"/>
          <w:numId w:val="12"/>
        </w:numPr>
        <w:spacing w:after="240" w:line="240" w:lineRule="auto"/>
        <w:rPr>
          <w:rFonts w:ascii="Times New Roman" w:hAnsi="Times New Roman" w:cs="Times New Roman"/>
        </w:rPr>
      </w:pPr>
      <w:r w:rsidRPr="00CC3F7A">
        <w:rPr>
          <w:rFonts w:ascii="Times New Roman" w:hAnsi="Times New Roman" w:cs="Times New Roman"/>
        </w:rPr>
        <w:t>(i)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determination of exceptional circumstances is in addition to the approval of the justification in 6.304.</w:t>
      </w:r>
    </w:p>
    <w:p w14:paraId="38F3A9B2" w14:textId="77777777" w:rsidR="00CC3F7A" w:rsidRPr="00CC3F7A" w:rsidRDefault="00CC3F7A" w:rsidP="00FB0BBD">
      <w:pPr>
        <w:numPr>
          <w:ilvl w:val="0"/>
          <w:numId w:val="12"/>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8755" w14:textId="77777777" w:rsidR="00874E2B" w:rsidRDefault="00874E2B">
      <w:pPr>
        <w:spacing w:after="0" w:line="240" w:lineRule="auto"/>
      </w:pPr>
      <w:r>
        <w:separator/>
      </w:r>
    </w:p>
  </w:endnote>
  <w:endnote w:type="continuationSeparator" w:id="0">
    <w:p w14:paraId="3DCA7F1E" w14:textId="77777777" w:rsidR="00874E2B" w:rsidRDefault="00874E2B">
      <w:pPr>
        <w:spacing w:after="0" w:line="240" w:lineRule="auto"/>
      </w:pPr>
      <w:r>
        <w:continuationSeparator/>
      </w:r>
    </w:p>
  </w:endnote>
  <w:endnote w:type="continuationNotice" w:id="1">
    <w:p w14:paraId="44E89122" w14:textId="77777777" w:rsidR="00874E2B" w:rsidRDefault="0087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8C6D43">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59C1A18A"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AB6E23">
      <w:rPr>
        <w:rFonts w:ascii="Arial Narrow" w:eastAsia="Arial Narrow" w:hAnsi="Arial Narrow" w:cs="Arial Narrow"/>
        <w:b/>
        <w:color w:val="000000"/>
      </w:rPr>
      <w:t>2</w:t>
    </w:r>
    <w:r w:rsidR="00ED7E98">
      <w:rPr>
        <w:rFonts w:ascii="Arial Narrow" w:eastAsia="Arial Narrow" w:hAnsi="Arial Narrow" w:cs="Arial Narrow"/>
        <w:b/>
        <w:color w:val="000000"/>
      </w:rPr>
      <w:t>2</w:t>
    </w:r>
    <w:r w:rsidRPr="00477DE6">
      <w:rPr>
        <w:rFonts w:ascii="Arial Narrow" w:eastAsia="Arial Narrow" w:hAnsi="Arial Narrow" w:cs="Arial Narrow"/>
        <w:b/>
        <w:color w:val="000000"/>
      </w:rPr>
      <w:t>-202</w:t>
    </w:r>
    <w:r w:rsidR="0077211E">
      <w:rPr>
        <w:rFonts w:ascii="Arial Narrow" w:eastAsia="Arial Narrow" w:hAnsi="Arial Narrow" w:cs="Arial Narrow"/>
        <w:b/>
        <w:color w:val="000000"/>
      </w:rPr>
      <w:t>4</w:t>
    </w:r>
    <w:r w:rsidRPr="00477DE6">
      <w:rPr>
        <w:rFonts w:ascii="Arial Narrow" w:eastAsia="Arial Narrow" w:hAnsi="Arial Narrow" w:cs="Arial Narrow"/>
        <w:b/>
        <w:color w:val="000000"/>
      </w:rPr>
      <w:t>-202</w:t>
    </w:r>
    <w:r w:rsidR="0077211E">
      <w:rPr>
        <w:rFonts w:ascii="Arial Narrow" w:eastAsia="Arial Narrow" w:hAnsi="Arial Narrow" w:cs="Arial Narrow"/>
        <w:b/>
        <w:color w:val="000000"/>
      </w:rPr>
      <w:t>5</w:t>
    </w:r>
    <w:r w:rsidRPr="00477DE6">
      <w:rPr>
        <w:rFonts w:ascii="Arial Narrow" w:eastAsia="Arial Narrow" w:hAnsi="Arial Narrow" w:cs="Arial Narrow"/>
        <w:b/>
        <w:color w:val="000000"/>
      </w:rPr>
      <w:t>-</w:t>
    </w:r>
    <w:r w:rsidR="00AB6E23">
      <w:rPr>
        <w:rFonts w:ascii="Arial Narrow" w:eastAsia="Arial Narrow" w:hAnsi="Arial Narrow" w:cs="Arial Narrow"/>
        <w:b/>
        <w:color w:val="000000"/>
      </w:rPr>
      <w:t>0</w:t>
    </w:r>
    <w:r w:rsidR="00ED7E98">
      <w:rPr>
        <w:rFonts w:ascii="Arial Narrow" w:eastAsia="Arial Narrow" w:hAnsi="Arial Narrow" w:cs="Arial Narrow"/>
        <w:b/>
        <w:color w:val="00000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F4D5A" w14:textId="77777777" w:rsidR="00874E2B" w:rsidRDefault="00874E2B">
      <w:pPr>
        <w:spacing w:after="0" w:line="240" w:lineRule="auto"/>
      </w:pPr>
      <w:r>
        <w:separator/>
      </w:r>
    </w:p>
  </w:footnote>
  <w:footnote w:type="continuationSeparator" w:id="0">
    <w:p w14:paraId="7B9E15B1" w14:textId="77777777" w:rsidR="00874E2B" w:rsidRDefault="00874E2B">
      <w:pPr>
        <w:spacing w:after="0" w:line="240" w:lineRule="auto"/>
      </w:pPr>
      <w:r>
        <w:continuationSeparator/>
      </w:r>
    </w:p>
  </w:footnote>
  <w:footnote w:type="continuationNotice" w:id="1">
    <w:p w14:paraId="4777E0BE" w14:textId="77777777" w:rsidR="00874E2B" w:rsidRDefault="0087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B1E9A"/>
    <w:multiLevelType w:val="hybridMultilevel"/>
    <w:tmpl w:val="8AEE3C76"/>
    <w:lvl w:ilvl="0" w:tplc="D2DCC4A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0" w15:restartNumberingAfterBreak="0">
    <w:nsid w:val="1A6C54E4"/>
    <w:multiLevelType w:val="hybridMultilevel"/>
    <w:tmpl w:val="2536059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10648"/>
    <w:multiLevelType w:val="hybridMultilevel"/>
    <w:tmpl w:val="A1888B3E"/>
    <w:lvl w:ilvl="0" w:tplc="FFFFFFFF">
      <w:start w:val="1"/>
      <w:numFmt w:val="decimal"/>
      <w:lvlText w:val="%1."/>
      <w:lvlJc w:val="left"/>
      <w:pPr>
        <w:ind w:left="1800" w:hanging="360"/>
      </w:pPr>
    </w:lvl>
    <w:lvl w:ilvl="1" w:tplc="0409000F">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0"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9E780E"/>
    <w:multiLevelType w:val="hybridMultilevel"/>
    <w:tmpl w:val="EC727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6"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5C1339"/>
    <w:multiLevelType w:val="hybridMultilevel"/>
    <w:tmpl w:val="0FA2138C"/>
    <w:lvl w:ilvl="0" w:tplc="04090015">
      <w:start w:val="1"/>
      <w:numFmt w:val="upperLetter"/>
      <w:lvlText w:val="%1."/>
      <w:lvlJc w:val="left"/>
      <w:pPr>
        <w:ind w:left="720" w:hanging="360"/>
      </w:pPr>
      <w:rPr>
        <w:rFonts w:hint="default"/>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4"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5" w15:restartNumberingAfterBreak="0">
    <w:nsid w:val="702332AB"/>
    <w:multiLevelType w:val="hybridMultilevel"/>
    <w:tmpl w:val="1B3E5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37"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27"/>
  </w:num>
  <w:num w:numId="2" w16cid:durableId="731737597">
    <w:abstractNumId w:val="11"/>
  </w:num>
  <w:num w:numId="3" w16cid:durableId="487870153">
    <w:abstractNumId w:val="17"/>
  </w:num>
  <w:num w:numId="4" w16cid:durableId="822161025">
    <w:abstractNumId w:val="18"/>
  </w:num>
  <w:num w:numId="5" w16cid:durableId="823395704">
    <w:abstractNumId w:val="30"/>
  </w:num>
  <w:num w:numId="6" w16cid:durableId="1436709289">
    <w:abstractNumId w:val="34"/>
  </w:num>
  <w:num w:numId="7" w16cid:durableId="1550386473">
    <w:abstractNumId w:val="13"/>
  </w:num>
  <w:num w:numId="8" w16cid:durableId="1950696026">
    <w:abstractNumId w:val="6"/>
  </w:num>
  <w:num w:numId="9" w16cid:durableId="1681735729">
    <w:abstractNumId w:val="24"/>
  </w:num>
  <w:num w:numId="10" w16cid:durableId="1898395682">
    <w:abstractNumId w:val="31"/>
  </w:num>
  <w:num w:numId="11" w16cid:durableId="941687767">
    <w:abstractNumId w:val="9"/>
  </w:num>
  <w:num w:numId="12" w16cid:durableId="498039023">
    <w:abstractNumId w:val="36"/>
  </w:num>
  <w:num w:numId="13" w16cid:durableId="2108579897">
    <w:abstractNumId w:val="19"/>
  </w:num>
  <w:num w:numId="14" w16cid:durableId="1743942914">
    <w:abstractNumId w:val="25"/>
  </w:num>
  <w:num w:numId="15" w16cid:durableId="1150756708">
    <w:abstractNumId w:val="3"/>
  </w:num>
  <w:num w:numId="16" w16cid:durableId="897134613">
    <w:abstractNumId w:val="2"/>
  </w:num>
  <w:num w:numId="17" w16cid:durableId="195236264">
    <w:abstractNumId w:val="14"/>
  </w:num>
  <w:num w:numId="18" w16cid:durableId="2031835725">
    <w:abstractNumId w:val="4"/>
  </w:num>
  <w:num w:numId="19" w16cid:durableId="1021861718">
    <w:abstractNumId w:val="22"/>
  </w:num>
  <w:num w:numId="20" w16cid:durableId="1515994598">
    <w:abstractNumId w:val="29"/>
  </w:num>
  <w:num w:numId="21" w16cid:durableId="833951786">
    <w:abstractNumId w:val="16"/>
  </w:num>
  <w:num w:numId="22" w16cid:durableId="177237074">
    <w:abstractNumId w:val="20"/>
  </w:num>
  <w:num w:numId="23" w16cid:durableId="822432459">
    <w:abstractNumId w:val="15"/>
  </w:num>
  <w:num w:numId="24" w16cid:durableId="668021374">
    <w:abstractNumId w:val="32"/>
  </w:num>
  <w:num w:numId="25" w16cid:durableId="1480463239">
    <w:abstractNumId w:val="26"/>
  </w:num>
  <w:num w:numId="26" w16cid:durableId="789975501">
    <w:abstractNumId w:val="21"/>
  </w:num>
  <w:num w:numId="27" w16cid:durableId="1958292327">
    <w:abstractNumId w:val="0"/>
  </w:num>
  <w:num w:numId="28" w16cid:durableId="633944897">
    <w:abstractNumId w:val="33"/>
  </w:num>
  <w:num w:numId="29" w16cid:durableId="339284326">
    <w:abstractNumId w:val="1"/>
  </w:num>
  <w:num w:numId="30" w16cid:durableId="1201553583">
    <w:abstractNumId w:val="37"/>
  </w:num>
  <w:num w:numId="31" w16cid:durableId="1082263289">
    <w:abstractNumId w:val="28"/>
  </w:num>
  <w:num w:numId="32" w16cid:durableId="847596177">
    <w:abstractNumId w:val="8"/>
  </w:num>
  <w:num w:numId="33" w16cid:durableId="1449272185">
    <w:abstractNumId w:val="7"/>
  </w:num>
  <w:num w:numId="34" w16cid:durableId="1765956090">
    <w:abstractNumId w:val="10"/>
  </w:num>
  <w:num w:numId="35" w16cid:durableId="472598684">
    <w:abstractNumId w:val="23"/>
  </w:num>
  <w:num w:numId="36" w16cid:durableId="1359964793">
    <w:abstractNumId w:val="35"/>
  </w:num>
  <w:num w:numId="37" w16cid:durableId="534001992">
    <w:abstractNumId w:val="12"/>
  </w:num>
  <w:num w:numId="38" w16cid:durableId="6187661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2F8"/>
    <w:rsid w:val="0002110B"/>
    <w:rsid w:val="000215BF"/>
    <w:rsid w:val="0002387C"/>
    <w:rsid w:val="0002622F"/>
    <w:rsid w:val="000271E4"/>
    <w:rsid w:val="000272A2"/>
    <w:rsid w:val="000300E6"/>
    <w:rsid w:val="000310B8"/>
    <w:rsid w:val="00033B33"/>
    <w:rsid w:val="00033BC2"/>
    <w:rsid w:val="00035E8E"/>
    <w:rsid w:val="00036C3E"/>
    <w:rsid w:val="00041C11"/>
    <w:rsid w:val="0004604B"/>
    <w:rsid w:val="000479BA"/>
    <w:rsid w:val="0005643E"/>
    <w:rsid w:val="000576EC"/>
    <w:rsid w:val="0006277B"/>
    <w:rsid w:val="00066722"/>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7349"/>
    <w:rsid w:val="000D1D91"/>
    <w:rsid w:val="000D77B7"/>
    <w:rsid w:val="000E0812"/>
    <w:rsid w:val="000E1287"/>
    <w:rsid w:val="000E3309"/>
    <w:rsid w:val="000F7C64"/>
    <w:rsid w:val="001000BC"/>
    <w:rsid w:val="00102660"/>
    <w:rsid w:val="0011008D"/>
    <w:rsid w:val="001154FE"/>
    <w:rsid w:val="001156FF"/>
    <w:rsid w:val="00117E62"/>
    <w:rsid w:val="00126F63"/>
    <w:rsid w:val="001318B1"/>
    <w:rsid w:val="00131E1F"/>
    <w:rsid w:val="00135DD2"/>
    <w:rsid w:val="00137A34"/>
    <w:rsid w:val="00140E65"/>
    <w:rsid w:val="00142AD2"/>
    <w:rsid w:val="00143854"/>
    <w:rsid w:val="00147625"/>
    <w:rsid w:val="00147EA6"/>
    <w:rsid w:val="0015385F"/>
    <w:rsid w:val="001566DC"/>
    <w:rsid w:val="0016071A"/>
    <w:rsid w:val="001631A4"/>
    <w:rsid w:val="0016377F"/>
    <w:rsid w:val="001644AB"/>
    <w:rsid w:val="00166CBA"/>
    <w:rsid w:val="00175458"/>
    <w:rsid w:val="001757BE"/>
    <w:rsid w:val="00192EFE"/>
    <w:rsid w:val="00194AF6"/>
    <w:rsid w:val="00194BFA"/>
    <w:rsid w:val="00197CA1"/>
    <w:rsid w:val="001A04D8"/>
    <w:rsid w:val="001A2A36"/>
    <w:rsid w:val="001B0CF0"/>
    <w:rsid w:val="001B150E"/>
    <w:rsid w:val="001B5949"/>
    <w:rsid w:val="001C2979"/>
    <w:rsid w:val="001C2C92"/>
    <w:rsid w:val="001C3FF9"/>
    <w:rsid w:val="001C7E18"/>
    <w:rsid w:val="001E0844"/>
    <w:rsid w:val="001E0F50"/>
    <w:rsid w:val="001E2AA8"/>
    <w:rsid w:val="001E52B9"/>
    <w:rsid w:val="001E5ABF"/>
    <w:rsid w:val="001F20F2"/>
    <w:rsid w:val="001F3245"/>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64FE"/>
    <w:rsid w:val="0026420A"/>
    <w:rsid w:val="00265EFE"/>
    <w:rsid w:val="00270A5D"/>
    <w:rsid w:val="00271383"/>
    <w:rsid w:val="002719B8"/>
    <w:rsid w:val="0027633C"/>
    <w:rsid w:val="002824A2"/>
    <w:rsid w:val="00286947"/>
    <w:rsid w:val="00291998"/>
    <w:rsid w:val="00292127"/>
    <w:rsid w:val="002A149B"/>
    <w:rsid w:val="002A4A02"/>
    <w:rsid w:val="002B118B"/>
    <w:rsid w:val="002B121D"/>
    <w:rsid w:val="002B663A"/>
    <w:rsid w:val="002C0C37"/>
    <w:rsid w:val="002C1669"/>
    <w:rsid w:val="002C3116"/>
    <w:rsid w:val="002C798B"/>
    <w:rsid w:val="002D266D"/>
    <w:rsid w:val="002D2795"/>
    <w:rsid w:val="002D3096"/>
    <w:rsid w:val="002D3294"/>
    <w:rsid w:val="002E21FF"/>
    <w:rsid w:val="002E2C20"/>
    <w:rsid w:val="002E4775"/>
    <w:rsid w:val="002F16D9"/>
    <w:rsid w:val="00303061"/>
    <w:rsid w:val="00306E38"/>
    <w:rsid w:val="003157E6"/>
    <w:rsid w:val="00317F50"/>
    <w:rsid w:val="0032240C"/>
    <w:rsid w:val="0032339D"/>
    <w:rsid w:val="00324158"/>
    <w:rsid w:val="0032442A"/>
    <w:rsid w:val="003256D9"/>
    <w:rsid w:val="00330C26"/>
    <w:rsid w:val="00330F8A"/>
    <w:rsid w:val="00332115"/>
    <w:rsid w:val="00337717"/>
    <w:rsid w:val="003420FE"/>
    <w:rsid w:val="00344FFF"/>
    <w:rsid w:val="0035438B"/>
    <w:rsid w:val="00354D0D"/>
    <w:rsid w:val="00357327"/>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D6855"/>
    <w:rsid w:val="003E1C9C"/>
    <w:rsid w:val="003E27E1"/>
    <w:rsid w:val="003F3DFA"/>
    <w:rsid w:val="003F6134"/>
    <w:rsid w:val="004013C3"/>
    <w:rsid w:val="00402B6C"/>
    <w:rsid w:val="00405363"/>
    <w:rsid w:val="00405670"/>
    <w:rsid w:val="00406FDC"/>
    <w:rsid w:val="004072D6"/>
    <w:rsid w:val="00412B76"/>
    <w:rsid w:val="0041334B"/>
    <w:rsid w:val="00415AEB"/>
    <w:rsid w:val="00433342"/>
    <w:rsid w:val="00435576"/>
    <w:rsid w:val="00437270"/>
    <w:rsid w:val="004410A1"/>
    <w:rsid w:val="004432AB"/>
    <w:rsid w:val="00444787"/>
    <w:rsid w:val="0044615C"/>
    <w:rsid w:val="00450513"/>
    <w:rsid w:val="00451D2B"/>
    <w:rsid w:val="004579FA"/>
    <w:rsid w:val="0046389D"/>
    <w:rsid w:val="004670F6"/>
    <w:rsid w:val="004760C1"/>
    <w:rsid w:val="00476384"/>
    <w:rsid w:val="00477DE6"/>
    <w:rsid w:val="00482E9B"/>
    <w:rsid w:val="00485C8C"/>
    <w:rsid w:val="004924AF"/>
    <w:rsid w:val="004A2CDE"/>
    <w:rsid w:val="004A3DA6"/>
    <w:rsid w:val="004B264D"/>
    <w:rsid w:val="004B415B"/>
    <w:rsid w:val="004B56EE"/>
    <w:rsid w:val="004B5D2D"/>
    <w:rsid w:val="004C3AC7"/>
    <w:rsid w:val="004D3F74"/>
    <w:rsid w:val="004D476F"/>
    <w:rsid w:val="004E1D47"/>
    <w:rsid w:val="004E7CE9"/>
    <w:rsid w:val="004F4DAC"/>
    <w:rsid w:val="004F611E"/>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3E7E"/>
    <w:rsid w:val="005341A3"/>
    <w:rsid w:val="00535590"/>
    <w:rsid w:val="00537A34"/>
    <w:rsid w:val="005434B7"/>
    <w:rsid w:val="0054371D"/>
    <w:rsid w:val="00545228"/>
    <w:rsid w:val="005475E2"/>
    <w:rsid w:val="00551375"/>
    <w:rsid w:val="00551E25"/>
    <w:rsid w:val="00552114"/>
    <w:rsid w:val="00554CE9"/>
    <w:rsid w:val="00555777"/>
    <w:rsid w:val="0055657F"/>
    <w:rsid w:val="00556A06"/>
    <w:rsid w:val="00560373"/>
    <w:rsid w:val="00567331"/>
    <w:rsid w:val="00571B5D"/>
    <w:rsid w:val="00576BA8"/>
    <w:rsid w:val="005778D3"/>
    <w:rsid w:val="00583F96"/>
    <w:rsid w:val="00583FBB"/>
    <w:rsid w:val="0058601E"/>
    <w:rsid w:val="00591648"/>
    <w:rsid w:val="0059736F"/>
    <w:rsid w:val="005A2D5F"/>
    <w:rsid w:val="005A5AB8"/>
    <w:rsid w:val="005A5C54"/>
    <w:rsid w:val="005A5FD2"/>
    <w:rsid w:val="005B49B7"/>
    <w:rsid w:val="005B58B7"/>
    <w:rsid w:val="005B7D95"/>
    <w:rsid w:val="005C01DF"/>
    <w:rsid w:val="005C7174"/>
    <w:rsid w:val="005D0B27"/>
    <w:rsid w:val="005D3E3E"/>
    <w:rsid w:val="005E0890"/>
    <w:rsid w:val="005E0CDC"/>
    <w:rsid w:val="005E4C2E"/>
    <w:rsid w:val="005E6728"/>
    <w:rsid w:val="005F2717"/>
    <w:rsid w:val="005F44C9"/>
    <w:rsid w:val="005F67DC"/>
    <w:rsid w:val="00602A7E"/>
    <w:rsid w:val="00606714"/>
    <w:rsid w:val="00612CA7"/>
    <w:rsid w:val="006172D7"/>
    <w:rsid w:val="00626D5E"/>
    <w:rsid w:val="00627531"/>
    <w:rsid w:val="00627BF9"/>
    <w:rsid w:val="00630A85"/>
    <w:rsid w:val="00631746"/>
    <w:rsid w:val="00632DD2"/>
    <w:rsid w:val="0063352E"/>
    <w:rsid w:val="0064013A"/>
    <w:rsid w:val="00642720"/>
    <w:rsid w:val="00645385"/>
    <w:rsid w:val="006462B2"/>
    <w:rsid w:val="00652B3A"/>
    <w:rsid w:val="00657552"/>
    <w:rsid w:val="00660B39"/>
    <w:rsid w:val="00673917"/>
    <w:rsid w:val="0067400A"/>
    <w:rsid w:val="006772B4"/>
    <w:rsid w:val="00681C12"/>
    <w:rsid w:val="006826E9"/>
    <w:rsid w:val="00684BA4"/>
    <w:rsid w:val="00693D66"/>
    <w:rsid w:val="00696CED"/>
    <w:rsid w:val="006972C0"/>
    <w:rsid w:val="006A0398"/>
    <w:rsid w:val="006A4983"/>
    <w:rsid w:val="006A5BDB"/>
    <w:rsid w:val="006A7845"/>
    <w:rsid w:val="006B03CC"/>
    <w:rsid w:val="006B1082"/>
    <w:rsid w:val="006B2D70"/>
    <w:rsid w:val="006B43C7"/>
    <w:rsid w:val="006B58EA"/>
    <w:rsid w:val="006B6CB2"/>
    <w:rsid w:val="006B7294"/>
    <w:rsid w:val="006C0374"/>
    <w:rsid w:val="006D221B"/>
    <w:rsid w:val="006D3BAE"/>
    <w:rsid w:val="006D4B09"/>
    <w:rsid w:val="006D5ED6"/>
    <w:rsid w:val="006E1C78"/>
    <w:rsid w:val="006E3BC5"/>
    <w:rsid w:val="006F2C5D"/>
    <w:rsid w:val="006F4397"/>
    <w:rsid w:val="006F5E94"/>
    <w:rsid w:val="006F61E4"/>
    <w:rsid w:val="00700F79"/>
    <w:rsid w:val="00705DC7"/>
    <w:rsid w:val="00706694"/>
    <w:rsid w:val="00706824"/>
    <w:rsid w:val="007120F4"/>
    <w:rsid w:val="00715201"/>
    <w:rsid w:val="00717D31"/>
    <w:rsid w:val="00730230"/>
    <w:rsid w:val="0073048C"/>
    <w:rsid w:val="00731545"/>
    <w:rsid w:val="007423E7"/>
    <w:rsid w:val="00743EFA"/>
    <w:rsid w:val="00747BC7"/>
    <w:rsid w:val="00751F61"/>
    <w:rsid w:val="00756173"/>
    <w:rsid w:val="0076497E"/>
    <w:rsid w:val="007676B0"/>
    <w:rsid w:val="00767F88"/>
    <w:rsid w:val="0077211E"/>
    <w:rsid w:val="00775F80"/>
    <w:rsid w:val="00776130"/>
    <w:rsid w:val="0078770D"/>
    <w:rsid w:val="00790F33"/>
    <w:rsid w:val="00791BA5"/>
    <w:rsid w:val="0079278D"/>
    <w:rsid w:val="00794E26"/>
    <w:rsid w:val="007A217B"/>
    <w:rsid w:val="007A3394"/>
    <w:rsid w:val="007B216B"/>
    <w:rsid w:val="007B32BE"/>
    <w:rsid w:val="007C1338"/>
    <w:rsid w:val="007C15F2"/>
    <w:rsid w:val="007C2906"/>
    <w:rsid w:val="007C5978"/>
    <w:rsid w:val="007D210A"/>
    <w:rsid w:val="007E255C"/>
    <w:rsid w:val="007E4139"/>
    <w:rsid w:val="007E41D8"/>
    <w:rsid w:val="007E5CED"/>
    <w:rsid w:val="007E6250"/>
    <w:rsid w:val="007E6789"/>
    <w:rsid w:val="007F2335"/>
    <w:rsid w:val="007F3E4C"/>
    <w:rsid w:val="007F48D4"/>
    <w:rsid w:val="007F5E75"/>
    <w:rsid w:val="00804A29"/>
    <w:rsid w:val="00807181"/>
    <w:rsid w:val="00810135"/>
    <w:rsid w:val="00812763"/>
    <w:rsid w:val="00820B71"/>
    <w:rsid w:val="00823D41"/>
    <w:rsid w:val="00827830"/>
    <w:rsid w:val="00831116"/>
    <w:rsid w:val="0084079F"/>
    <w:rsid w:val="008431B3"/>
    <w:rsid w:val="00843A96"/>
    <w:rsid w:val="00844E96"/>
    <w:rsid w:val="00847015"/>
    <w:rsid w:val="00852662"/>
    <w:rsid w:val="008539C1"/>
    <w:rsid w:val="00860FEE"/>
    <w:rsid w:val="0086122F"/>
    <w:rsid w:val="00865D2B"/>
    <w:rsid w:val="0087291F"/>
    <w:rsid w:val="0087360A"/>
    <w:rsid w:val="00874E2B"/>
    <w:rsid w:val="0088086D"/>
    <w:rsid w:val="00881DCC"/>
    <w:rsid w:val="008821D5"/>
    <w:rsid w:val="008861B9"/>
    <w:rsid w:val="00895CBD"/>
    <w:rsid w:val="008A317C"/>
    <w:rsid w:val="008B1C75"/>
    <w:rsid w:val="008B1FF0"/>
    <w:rsid w:val="008B5C85"/>
    <w:rsid w:val="008B7566"/>
    <w:rsid w:val="008C6390"/>
    <w:rsid w:val="008C6D43"/>
    <w:rsid w:val="008D2DDE"/>
    <w:rsid w:val="008D401C"/>
    <w:rsid w:val="00901F4D"/>
    <w:rsid w:val="00902FBA"/>
    <w:rsid w:val="00914AA5"/>
    <w:rsid w:val="0091527C"/>
    <w:rsid w:val="0092015D"/>
    <w:rsid w:val="00921A19"/>
    <w:rsid w:val="009235EF"/>
    <w:rsid w:val="00923F1B"/>
    <w:rsid w:val="00933F39"/>
    <w:rsid w:val="00941CD8"/>
    <w:rsid w:val="009435C6"/>
    <w:rsid w:val="00945238"/>
    <w:rsid w:val="009468C3"/>
    <w:rsid w:val="00947AA4"/>
    <w:rsid w:val="0095348E"/>
    <w:rsid w:val="00961E9A"/>
    <w:rsid w:val="00963364"/>
    <w:rsid w:val="009733D9"/>
    <w:rsid w:val="00975CB9"/>
    <w:rsid w:val="00977DE3"/>
    <w:rsid w:val="00982A60"/>
    <w:rsid w:val="00983D43"/>
    <w:rsid w:val="00992896"/>
    <w:rsid w:val="009A0D6F"/>
    <w:rsid w:val="009A3806"/>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F9F"/>
    <w:rsid w:val="00A52213"/>
    <w:rsid w:val="00A5330E"/>
    <w:rsid w:val="00A54FB5"/>
    <w:rsid w:val="00A60F1D"/>
    <w:rsid w:val="00A6491E"/>
    <w:rsid w:val="00A64F9D"/>
    <w:rsid w:val="00A7030D"/>
    <w:rsid w:val="00A715D0"/>
    <w:rsid w:val="00A73ED9"/>
    <w:rsid w:val="00A83E23"/>
    <w:rsid w:val="00A84DA7"/>
    <w:rsid w:val="00A96552"/>
    <w:rsid w:val="00A9766D"/>
    <w:rsid w:val="00AA1EE2"/>
    <w:rsid w:val="00AA5702"/>
    <w:rsid w:val="00AA79E4"/>
    <w:rsid w:val="00AB3646"/>
    <w:rsid w:val="00AB3DC1"/>
    <w:rsid w:val="00AB6CAD"/>
    <w:rsid w:val="00AB6E23"/>
    <w:rsid w:val="00AC77EC"/>
    <w:rsid w:val="00AD0FD2"/>
    <w:rsid w:val="00AD19AE"/>
    <w:rsid w:val="00AD2CC7"/>
    <w:rsid w:val="00AD5728"/>
    <w:rsid w:val="00AF05B2"/>
    <w:rsid w:val="00AF0D50"/>
    <w:rsid w:val="00B0546D"/>
    <w:rsid w:val="00B057C0"/>
    <w:rsid w:val="00B07AA6"/>
    <w:rsid w:val="00B11011"/>
    <w:rsid w:val="00B11113"/>
    <w:rsid w:val="00B113A4"/>
    <w:rsid w:val="00B277D0"/>
    <w:rsid w:val="00B27EC7"/>
    <w:rsid w:val="00B33D30"/>
    <w:rsid w:val="00B34155"/>
    <w:rsid w:val="00B35F63"/>
    <w:rsid w:val="00B37F4A"/>
    <w:rsid w:val="00B413FA"/>
    <w:rsid w:val="00B41F4E"/>
    <w:rsid w:val="00B461C9"/>
    <w:rsid w:val="00B52465"/>
    <w:rsid w:val="00B61DF7"/>
    <w:rsid w:val="00B62533"/>
    <w:rsid w:val="00B63EB9"/>
    <w:rsid w:val="00B70490"/>
    <w:rsid w:val="00B71100"/>
    <w:rsid w:val="00B76B60"/>
    <w:rsid w:val="00B82816"/>
    <w:rsid w:val="00B82D03"/>
    <w:rsid w:val="00B83B0C"/>
    <w:rsid w:val="00B84105"/>
    <w:rsid w:val="00B848D0"/>
    <w:rsid w:val="00B93BA7"/>
    <w:rsid w:val="00B973DD"/>
    <w:rsid w:val="00BA1611"/>
    <w:rsid w:val="00BA28A9"/>
    <w:rsid w:val="00BA3E37"/>
    <w:rsid w:val="00BB238A"/>
    <w:rsid w:val="00BB23F5"/>
    <w:rsid w:val="00BB2878"/>
    <w:rsid w:val="00BB2E71"/>
    <w:rsid w:val="00BB3AA6"/>
    <w:rsid w:val="00BB4FA5"/>
    <w:rsid w:val="00BB76FE"/>
    <w:rsid w:val="00BC0F07"/>
    <w:rsid w:val="00BC16C2"/>
    <w:rsid w:val="00BC2FF2"/>
    <w:rsid w:val="00BC30A4"/>
    <w:rsid w:val="00BD0E8A"/>
    <w:rsid w:val="00BD291F"/>
    <w:rsid w:val="00BD3C0A"/>
    <w:rsid w:val="00BD40E2"/>
    <w:rsid w:val="00BD694F"/>
    <w:rsid w:val="00BD777E"/>
    <w:rsid w:val="00BE0B6E"/>
    <w:rsid w:val="00BE0BEC"/>
    <w:rsid w:val="00BF0850"/>
    <w:rsid w:val="00BF2134"/>
    <w:rsid w:val="00C0205A"/>
    <w:rsid w:val="00C1646A"/>
    <w:rsid w:val="00C22B17"/>
    <w:rsid w:val="00C25E71"/>
    <w:rsid w:val="00C262F6"/>
    <w:rsid w:val="00C3229F"/>
    <w:rsid w:val="00C32B0F"/>
    <w:rsid w:val="00C33DAE"/>
    <w:rsid w:val="00C33DEE"/>
    <w:rsid w:val="00C43D16"/>
    <w:rsid w:val="00C449CA"/>
    <w:rsid w:val="00C465C8"/>
    <w:rsid w:val="00C5145D"/>
    <w:rsid w:val="00C60C92"/>
    <w:rsid w:val="00C6121F"/>
    <w:rsid w:val="00C64429"/>
    <w:rsid w:val="00C6589D"/>
    <w:rsid w:val="00C677F1"/>
    <w:rsid w:val="00C7086E"/>
    <w:rsid w:val="00C746F0"/>
    <w:rsid w:val="00C767F3"/>
    <w:rsid w:val="00C83CAE"/>
    <w:rsid w:val="00C86920"/>
    <w:rsid w:val="00C8769F"/>
    <w:rsid w:val="00C90F3D"/>
    <w:rsid w:val="00C9629A"/>
    <w:rsid w:val="00CA102B"/>
    <w:rsid w:val="00CA7B2B"/>
    <w:rsid w:val="00CB108D"/>
    <w:rsid w:val="00CB339C"/>
    <w:rsid w:val="00CB50AA"/>
    <w:rsid w:val="00CB7462"/>
    <w:rsid w:val="00CB74FE"/>
    <w:rsid w:val="00CB7D28"/>
    <w:rsid w:val="00CC3F7A"/>
    <w:rsid w:val="00CD5DA3"/>
    <w:rsid w:val="00CE0F91"/>
    <w:rsid w:val="00CE6D11"/>
    <w:rsid w:val="00CF00B7"/>
    <w:rsid w:val="00CF5A3C"/>
    <w:rsid w:val="00CF74B9"/>
    <w:rsid w:val="00D01EFC"/>
    <w:rsid w:val="00D0532F"/>
    <w:rsid w:val="00D07A38"/>
    <w:rsid w:val="00D11EC6"/>
    <w:rsid w:val="00D127F8"/>
    <w:rsid w:val="00D15F54"/>
    <w:rsid w:val="00D1606D"/>
    <w:rsid w:val="00D16F71"/>
    <w:rsid w:val="00D2029E"/>
    <w:rsid w:val="00D23F32"/>
    <w:rsid w:val="00D2458D"/>
    <w:rsid w:val="00D33821"/>
    <w:rsid w:val="00D41C7F"/>
    <w:rsid w:val="00D440D0"/>
    <w:rsid w:val="00D52282"/>
    <w:rsid w:val="00D5556A"/>
    <w:rsid w:val="00D56116"/>
    <w:rsid w:val="00D5671A"/>
    <w:rsid w:val="00D56E09"/>
    <w:rsid w:val="00D57B82"/>
    <w:rsid w:val="00D63627"/>
    <w:rsid w:val="00D6480C"/>
    <w:rsid w:val="00D6754A"/>
    <w:rsid w:val="00D679D0"/>
    <w:rsid w:val="00D713B1"/>
    <w:rsid w:val="00D72C9B"/>
    <w:rsid w:val="00D75EC7"/>
    <w:rsid w:val="00D830B2"/>
    <w:rsid w:val="00D834FF"/>
    <w:rsid w:val="00D85FFD"/>
    <w:rsid w:val="00D86C41"/>
    <w:rsid w:val="00DA04D0"/>
    <w:rsid w:val="00DA35A5"/>
    <w:rsid w:val="00DA37AE"/>
    <w:rsid w:val="00DB1470"/>
    <w:rsid w:val="00DB2C5B"/>
    <w:rsid w:val="00DB2EC0"/>
    <w:rsid w:val="00DB315B"/>
    <w:rsid w:val="00DB3EE0"/>
    <w:rsid w:val="00DC1127"/>
    <w:rsid w:val="00DC670E"/>
    <w:rsid w:val="00DC6CE2"/>
    <w:rsid w:val="00DD1934"/>
    <w:rsid w:val="00DD222A"/>
    <w:rsid w:val="00DD464F"/>
    <w:rsid w:val="00DD4A2D"/>
    <w:rsid w:val="00DD62C6"/>
    <w:rsid w:val="00DE1535"/>
    <w:rsid w:val="00DE20F7"/>
    <w:rsid w:val="00DE65E0"/>
    <w:rsid w:val="00DF2493"/>
    <w:rsid w:val="00DF38D1"/>
    <w:rsid w:val="00DF72A2"/>
    <w:rsid w:val="00E0034D"/>
    <w:rsid w:val="00E04A59"/>
    <w:rsid w:val="00E05BA0"/>
    <w:rsid w:val="00E0630B"/>
    <w:rsid w:val="00E15CD0"/>
    <w:rsid w:val="00E1711B"/>
    <w:rsid w:val="00E23338"/>
    <w:rsid w:val="00E2566F"/>
    <w:rsid w:val="00E26B96"/>
    <w:rsid w:val="00E27C5D"/>
    <w:rsid w:val="00E307AA"/>
    <w:rsid w:val="00E369F5"/>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B27C5"/>
    <w:rsid w:val="00EB2D3D"/>
    <w:rsid w:val="00EB56C5"/>
    <w:rsid w:val="00EB5E3F"/>
    <w:rsid w:val="00EC3B80"/>
    <w:rsid w:val="00ED67E5"/>
    <w:rsid w:val="00ED7E98"/>
    <w:rsid w:val="00EE028E"/>
    <w:rsid w:val="00EE1C19"/>
    <w:rsid w:val="00EE7B84"/>
    <w:rsid w:val="00EF0EDB"/>
    <w:rsid w:val="00EF3B95"/>
    <w:rsid w:val="00EF446D"/>
    <w:rsid w:val="00EF46AB"/>
    <w:rsid w:val="00EF68E8"/>
    <w:rsid w:val="00EF7444"/>
    <w:rsid w:val="00F016FE"/>
    <w:rsid w:val="00F03230"/>
    <w:rsid w:val="00F13F0E"/>
    <w:rsid w:val="00F14375"/>
    <w:rsid w:val="00F1622E"/>
    <w:rsid w:val="00F16970"/>
    <w:rsid w:val="00F22A00"/>
    <w:rsid w:val="00F23AA4"/>
    <w:rsid w:val="00F34680"/>
    <w:rsid w:val="00F35FF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6F40"/>
    <w:rsid w:val="00F77801"/>
    <w:rsid w:val="00F815AA"/>
    <w:rsid w:val="00F841A7"/>
    <w:rsid w:val="00F84411"/>
    <w:rsid w:val="00F85607"/>
    <w:rsid w:val="00F9277B"/>
    <w:rsid w:val="00F9403E"/>
    <w:rsid w:val="00FA141D"/>
    <w:rsid w:val="00FA30DB"/>
    <w:rsid w:val="00FA5EBF"/>
    <w:rsid w:val="00FB0BBD"/>
    <w:rsid w:val="00FB4946"/>
    <w:rsid w:val="00FB504D"/>
    <w:rsid w:val="00FC2B13"/>
    <w:rsid w:val="00FC464C"/>
    <w:rsid w:val="00FD18DE"/>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TYzMzQ4YmYtMzM4OS00MWRhLWE2MzktZmFjZDk4ZmJlMjRl%40thread.v2/0?context=%7b%22Tid%22%3a%22e1f19f2f-617d-4202-a476-27bc477a74f5%22%2c%22Oid%22%3a%225f987be7-abd4-4e5a-9c24-d98ed4bbc3b5%22%7d" TargetMode="External"/><Relationship Id="rId13" Type="http://schemas.openxmlformats.org/officeDocument/2006/relationships/hyperlink" Target="https://resanet.finalsite.com/fs/resource-manager/view/37d4c62f-a8ec-4d15-9232-98486e323064" TargetMode="External"/><Relationship Id="rId18" Type="http://schemas.openxmlformats.org/officeDocument/2006/relationships/hyperlink" Target="mailto:purchasing@resa.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esa.net/administrative-support/purchasing/request-for-proposal" TargetMode="External"/><Relationship Id="rId17" Type="http://schemas.openxmlformats.org/officeDocument/2006/relationships/hyperlink" Target="mailto:purchasing@resa.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dnetdirect.com/mitn/re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resa.net" TargetMode="External"/><Relationship Id="rId24" Type="http://schemas.openxmlformats.org/officeDocument/2006/relationships/hyperlink" Target="https://www.epa.gov/smm/comprehensive-procurement-guideline-cpg-program"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23" Type="http://schemas.openxmlformats.org/officeDocument/2006/relationships/image" Target="media/image3.png"/><Relationship Id="rId10" Type="http://schemas.openxmlformats.org/officeDocument/2006/relationships/hyperlink" Target="https://www.resa.net/administrative-support/purchasing/request-for-propos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https://foodplanner.healthiergeneration.org/calculato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5860</TotalTime>
  <Pages>12</Pages>
  <Words>11907</Words>
  <Characters>66685</Characters>
  <Application>Microsoft Office Word</Application>
  <DocSecurity>0</DocSecurity>
  <Lines>1626</Lines>
  <Paragraphs>701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77891</CharactersWithSpaces>
  <SharedDoc>false</SharedDoc>
  <HyperlinkBase/>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WRESA-22-2024-2025-09 Beverage Services</dc:title>
  <dc:subject/>
  <dc:creator>Stacey Shaw</dc:creator>
  <cp:keywords/>
  <dc:description/>
  <cp:lastModifiedBy>Jordan Ewert</cp:lastModifiedBy>
  <cp:revision>10</cp:revision>
  <dcterms:created xsi:type="dcterms:W3CDTF">2024-08-23T17:42:00Z</dcterms:created>
  <dcterms:modified xsi:type="dcterms:W3CDTF">2024-09-11T13:28:00Z</dcterms:modified>
  <cp:category/>
</cp:coreProperties>
</file>